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Повідомлення про проведення </w:t>
      </w:r>
      <w:r w:rsidR="001B37D8">
        <w:rPr>
          <w:b/>
          <w:bCs/>
          <w:lang w:val="uk-UA"/>
        </w:rPr>
        <w:t xml:space="preserve">позачергових </w:t>
      </w:r>
      <w:r w:rsidRPr="00F64C64">
        <w:rPr>
          <w:b/>
          <w:bCs/>
          <w:lang w:val="uk-UA"/>
        </w:rPr>
        <w:t>загальних зборів акціонерів</w:t>
      </w:r>
    </w:p>
    <w:p w:rsidR="008811B1" w:rsidRPr="00F64C64" w:rsidRDefault="005E15E6" w:rsidP="00B709B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Приватного</w:t>
      </w:r>
      <w:r w:rsidR="008811B1" w:rsidRPr="00F64C64">
        <w:rPr>
          <w:b/>
          <w:bCs/>
          <w:lang w:val="uk-UA"/>
        </w:rPr>
        <w:t xml:space="preserve"> акціонерного товариства «</w:t>
      </w:r>
      <w:proofErr w:type="spellStart"/>
      <w:r w:rsidR="001B37D8">
        <w:rPr>
          <w:b/>
          <w:bCs/>
          <w:lang w:val="uk-UA"/>
        </w:rPr>
        <w:t>Будавтодор</w:t>
      </w:r>
      <w:proofErr w:type="spellEnd"/>
      <w:r w:rsidR="008811B1" w:rsidRPr="00F64C64">
        <w:rPr>
          <w:b/>
          <w:bCs/>
          <w:lang w:val="uk-UA"/>
        </w:rPr>
        <w:t xml:space="preserve">» 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(ідентифікаційний код: </w:t>
      </w:r>
      <w:r w:rsidR="001B37D8">
        <w:rPr>
          <w:b/>
          <w:bCs/>
          <w:lang w:val="uk-UA"/>
        </w:rPr>
        <w:t>25434696</w:t>
      </w:r>
      <w:r w:rsidRPr="00F64C64">
        <w:rPr>
          <w:b/>
          <w:bCs/>
          <w:lang w:val="uk-UA"/>
        </w:rPr>
        <w:t>),</w:t>
      </w:r>
    </w:p>
    <w:p w:rsidR="008811B1" w:rsidRPr="00F64C64" w:rsidRDefault="008811B1" w:rsidP="001B37D8">
      <w:pPr>
        <w:jc w:val="center"/>
        <w:rPr>
          <w:lang w:val="uk-UA"/>
        </w:rPr>
      </w:pPr>
      <w:r w:rsidRPr="00F64C64">
        <w:rPr>
          <w:b/>
          <w:bCs/>
          <w:lang w:val="uk-UA"/>
        </w:rPr>
        <w:t xml:space="preserve">місцезнаходження:  </w:t>
      </w:r>
      <w:r w:rsidR="001B37D8" w:rsidRPr="001B37D8">
        <w:rPr>
          <w:b/>
          <w:bCs/>
          <w:lang w:val="uk-UA"/>
        </w:rPr>
        <w:t>89425,Закарпатська обл.,Ужгородський р-н,</w:t>
      </w:r>
      <w:proofErr w:type="spellStart"/>
      <w:r w:rsidR="001B37D8" w:rsidRPr="001B37D8">
        <w:rPr>
          <w:b/>
          <w:bCs/>
          <w:lang w:val="uk-UA"/>
        </w:rPr>
        <w:t>с.Баранинці</w:t>
      </w:r>
      <w:proofErr w:type="spellEnd"/>
      <w:r w:rsidR="001B37D8" w:rsidRPr="001B37D8">
        <w:rPr>
          <w:b/>
          <w:bCs/>
          <w:lang w:val="uk-UA"/>
        </w:rPr>
        <w:t>, вул..Об’їзна,буд.11 А</w:t>
      </w:r>
    </w:p>
    <w:p w:rsidR="00453E59" w:rsidRPr="001B37D8" w:rsidRDefault="005E15E6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Приватне</w:t>
      </w:r>
      <w:r w:rsidR="003B4F7D" w:rsidRPr="00F64C64">
        <w:rPr>
          <w:bCs/>
          <w:lang w:val="uk-UA"/>
        </w:rPr>
        <w:t xml:space="preserve"> акціонерне товариство </w:t>
      </w:r>
      <w:r w:rsidR="0051640D" w:rsidRPr="00F64C64">
        <w:rPr>
          <w:bCs/>
          <w:lang w:val="uk-UA"/>
        </w:rPr>
        <w:t>«</w:t>
      </w:r>
      <w:proofErr w:type="spellStart"/>
      <w:r w:rsidR="001B37D8">
        <w:rPr>
          <w:bCs/>
          <w:lang w:val="uk-UA"/>
        </w:rPr>
        <w:t>Будавтодор</w:t>
      </w:r>
      <w:proofErr w:type="spellEnd"/>
      <w:r w:rsidR="0051640D" w:rsidRPr="00F64C64">
        <w:rPr>
          <w:bCs/>
          <w:lang w:val="uk-UA"/>
        </w:rPr>
        <w:t>»</w:t>
      </w:r>
      <w:r w:rsidR="003B4F7D" w:rsidRPr="00F64C64">
        <w:rPr>
          <w:bCs/>
          <w:lang w:val="uk-UA"/>
        </w:rPr>
        <w:t xml:space="preserve"> </w:t>
      </w:r>
      <w:r w:rsidR="003B4F7D" w:rsidRPr="00F64C64">
        <w:rPr>
          <w:lang w:val="uk-UA"/>
        </w:rPr>
        <w:t>(</w:t>
      </w:r>
      <w:r>
        <w:rPr>
          <w:lang w:val="uk-UA"/>
        </w:rPr>
        <w:t xml:space="preserve">надалі – </w:t>
      </w:r>
      <w:r w:rsidR="00156BCF" w:rsidRPr="00F64C64">
        <w:rPr>
          <w:lang w:val="uk-UA"/>
        </w:rPr>
        <w:t xml:space="preserve"> Товариство</w:t>
      </w:r>
      <w:r w:rsidR="003B4F7D" w:rsidRPr="00F64C64">
        <w:rPr>
          <w:lang w:val="uk-UA"/>
        </w:rPr>
        <w:t xml:space="preserve">), повідомляє про скликання </w:t>
      </w:r>
      <w:r w:rsidR="001B37D8">
        <w:rPr>
          <w:lang w:val="uk-UA"/>
        </w:rPr>
        <w:t>позачергових</w:t>
      </w:r>
      <w:r w:rsidR="003B4F7D" w:rsidRPr="00F64C64">
        <w:rPr>
          <w:lang w:val="uk-UA"/>
        </w:rPr>
        <w:t xml:space="preserve"> загальних зборів акціонерів</w:t>
      </w:r>
      <w:r w:rsidR="009A2AD0" w:rsidRPr="00F64C64">
        <w:rPr>
          <w:lang w:val="uk-UA"/>
        </w:rPr>
        <w:t xml:space="preserve">, </w:t>
      </w:r>
      <w:r w:rsidR="00453E59" w:rsidRPr="00F64C64">
        <w:rPr>
          <w:lang w:val="uk-UA"/>
        </w:rPr>
        <w:t>я</w:t>
      </w:r>
      <w:r w:rsidR="001B37D8">
        <w:rPr>
          <w:lang w:val="uk-UA"/>
        </w:rPr>
        <w:t xml:space="preserve">кі будуть проведені дистанційно </w:t>
      </w:r>
      <w:r w:rsidR="001B37D8" w:rsidRPr="001B37D8">
        <w:rPr>
          <w:lang w:val="uk-UA"/>
        </w:rPr>
        <w:t>у порядку, передбаченому Порядком скликання та дистанційного проведення загальних зборів акціонерів, затвердженим рішенням Національної комісії з цінних паперів та фондового ринку від 06.03.2023</w:t>
      </w:r>
      <w:r w:rsidR="001B37D8">
        <w:rPr>
          <w:lang w:val="uk-UA"/>
        </w:rPr>
        <w:t xml:space="preserve"> </w:t>
      </w:r>
      <w:r w:rsidR="001B37D8" w:rsidRPr="001B37D8">
        <w:rPr>
          <w:lang w:val="uk-UA"/>
        </w:rPr>
        <w:t>№236 (далі – Порядок).</w:t>
      </w:r>
    </w:p>
    <w:p w:rsidR="00453E59" w:rsidRPr="00F64C64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проведення </w:t>
      </w:r>
      <w:r w:rsidR="001B37D8">
        <w:rPr>
          <w:lang w:val="uk-UA"/>
        </w:rPr>
        <w:t>позачергових</w:t>
      </w:r>
      <w:r w:rsidR="00F42D0E" w:rsidRPr="00F64C64">
        <w:rPr>
          <w:lang w:val="uk-UA"/>
        </w:rPr>
        <w:t xml:space="preserve"> </w:t>
      </w:r>
      <w:r w:rsidRPr="00F64C64">
        <w:rPr>
          <w:lang w:val="uk-UA"/>
        </w:rPr>
        <w:t>загальних зборів</w:t>
      </w:r>
      <w:r w:rsidR="00556ED4" w:rsidRPr="00F64C64">
        <w:rPr>
          <w:lang w:val="uk-UA"/>
        </w:rPr>
        <w:t xml:space="preserve"> акціонерів </w:t>
      </w:r>
      <w:r w:rsidRPr="00F64C64">
        <w:rPr>
          <w:lang w:val="uk-UA"/>
        </w:rPr>
        <w:t>(д</w:t>
      </w:r>
      <w:r w:rsidR="00F66EBF" w:rsidRPr="00F64C64">
        <w:rPr>
          <w:lang w:val="uk-UA"/>
        </w:rPr>
        <w:t xml:space="preserve">ата завершення голосування) – </w:t>
      </w:r>
      <w:r w:rsidR="001B37D8">
        <w:rPr>
          <w:lang w:val="uk-UA"/>
        </w:rPr>
        <w:t>29 вересня</w:t>
      </w:r>
      <w:r w:rsidR="00863CFA" w:rsidRPr="00F64C64">
        <w:rPr>
          <w:lang w:val="uk-UA"/>
        </w:rPr>
        <w:t xml:space="preserve"> </w:t>
      </w:r>
      <w:r w:rsidRPr="00F64C64">
        <w:rPr>
          <w:lang w:val="uk-UA"/>
        </w:rPr>
        <w:t>2023 року</w:t>
      </w:r>
      <w:r w:rsidR="00D06E36" w:rsidRPr="00F64C64">
        <w:rPr>
          <w:lang w:val="uk-UA"/>
        </w:rPr>
        <w:t>.</w:t>
      </w:r>
    </w:p>
    <w:p w:rsidR="00686179" w:rsidRPr="001B37D8" w:rsidRDefault="00453E59" w:rsidP="00B709BF">
      <w:pPr>
        <w:ind w:firstLine="567"/>
        <w:jc w:val="both"/>
      </w:pPr>
      <w:r w:rsidRPr="00F64C64">
        <w:rPr>
          <w:lang w:val="uk-UA"/>
        </w:rPr>
        <w:t>Бюлетені для голосування розміщуватимуться у вільному для акціонерів</w:t>
      </w:r>
      <w:r w:rsidR="002835E1" w:rsidRPr="00F64C64">
        <w:rPr>
          <w:lang w:val="uk-UA"/>
        </w:rPr>
        <w:t xml:space="preserve"> </w:t>
      </w:r>
      <w:r w:rsidRPr="00F64C64">
        <w:rPr>
          <w:lang w:val="uk-UA"/>
        </w:rPr>
        <w:t>доступі на</w:t>
      </w:r>
      <w:r w:rsidR="00D06E36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сторінці </w:t>
      </w:r>
      <w:r w:rsidR="005E15E6">
        <w:rPr>
          <w:lang w:val="uk-UA"/>
        </w:rPr>
        <w:t>http://</w:t>
      </w:r>
      <w:r w:rsidR="001B37D8" w:rsidRPr="00773FEA">
        <w:rPr>
          <w:lang w:val="uk-UA"/>
        </w:rPr>
        <w:t>budavtodor.pat.ua</w:t>
      </w:r>
    </w:p>
    <w:p w:rsidR="0068617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Дата розміщення єдиног</w:t>
      </w:r>
      <w:r w:rsidR="00F66EBF" w:rsidRPr="00F64C64">
        <w:rPr>
          <w:lang w:val="uk-UA"/>
        </w:rPr>
        <w:t>о бюлетеня для голосування</w:t>
      </w:r>
      <w:r w:rsidR="00CB60EA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36273C" w:rsidRPr="00F64C64">
        <w:rPr>
          <w:lang w:val="uk-UA"/>
        </w:rPr>
        <w:t xml:space="preserve"> </w:t>
      </w:r>
      <w:r w:rsidR="00773FEA" w:rsidRPr="00773FEA">
        <w:t xml:space="preserve">19 </w:t>
      </w:r>
      <w:r w:rsidR="00773FEA">
        <w:rPr>
          <w:lang w:val="uk-UA"/>
        </w:rPr>
        <w:t>вересня</w:t>
      </w:r>
      <w:r w:rsidR="005E15E6">
        <w:rPr>
          <w:lang w:val="uk-UA"/>
        </w:rPr>
        <w:t xml:space="preserve"> </w:t>
      </w:r>
      <w:r w:rsidR="00183878" w:rsidRPr="00F64C64">
        <w:rPr>
          <w:lang w:val="uk-UA"/>
        </w:rPr>
        <w:t xml:space="preserve"> </w:t>
      </w:r>
      <w:r w:rsidR="00F66EBF" w:rsidRPr="00F64C64">
        <w:rPr>
          <w:lang w:val="uk-UA"/>
        </w:rPr>
        <w:t>2023</w:t>
      </w:r>
      <w:r w:rsidRPr="00F64C64">
        <w:rPr>
          <w:lang w:val="uk-UA"/>
        </w:rPr>
        <w:t xml:space="preserve"> року</w:t>
      </w:r>
      <w:r w:rsidR="00D06E36" w:rsidRPr="00F64C64">
        <w:rPr>
          <w:lang w:val="uk-UA"/>
        </w:rPr>
        <w:t>.</w:t>
      </w:r>
    </w:p>
    <w:p w:rsidR="00453E5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складення переліку акціонерів, які мають право на участь у </w:t>
      </w:r>
      <w:r w:rsidR="00773FEA">
        <w:rPr>
          <w:lang w:val="uk-UA"/>
        </w:rPr>
        <w:t>позачергових</w:t>
      </w:r>
      <w:r w:rsidR="00F42D0E" w:rsidRPr="00F64C64">
        <w:rPr>
          <w:lang w:val="uk-UA"/>
        </w:rPr>
        <w:t xml:space="preserve"> </w:t>
      </w:r>
      <w:r w:rsidRPr="00F64C64">
        <w:rPr>
          <w:lang w:val="uk-UA"/>
        </w:rPr>
        <w:t>загальних зборах акціонерів</w:t>
      </w:r>
      <w:r w:rsidR="00556ED4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556ED4" w:rsidRPr="00F64C64">
        <w:rPr>
          <w:lang w:val="uk-UA"/>
        </w:rPr>
        <w:t xml:space="preserve"> </w:t>
      </w:r>
      <w:r w:rsidR="00773FEA">
        <w:rPr>
          <w:lang w:val="uk-UA"/>
        </w:rPr>
        <w:t xml:space="preserve">26 вересня </w:t>
      </w:r>
      <w:r w:rsidRPr="00F64C64">
        <w:rPr>
          <w:lang w:val="uk-UA"/>
        </w:rPr>
        <w:t xml:space="preserve"> 2023 року (станом на 2</w:t>
      </w:r>
      <w:r w:rsidR="00F42D0E" w:rsidRPr="00F64C64">
        <w:rPr>
          <w:lang w:val="uk-UA"/>
        </w:rPr>
        <w:t>3</w:t>
      </w:r>
      <w:r w:rsidRPr="00F64C64">
        <w:rPr>
          <w:lang w:val="uk-UA"/>
        </w:rPr>
        <w:t xml:space="preserve"> годину).</w:t>
      </w:r>
    </w:p>
    <w:p w:rsidR="00453E59" w:rsidRPr="00F64C64" w:rsidRDefault="00453E59" w:rsidP="00B709BF">
      <w:pPr>
        <w:ind w:firstLine="567"/>
        <w:jc w:val="center"/>
        <w:rPr>
          <w:lang w:val="uk-UA"/>
        </w:rPr>
      </w:pPr>
    </w:p>
    <w:p w:rsidR="0096383E" w:rsidRPr="00F64C64" w:rsidRDefault="0096383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>ПРОЕКТ ПОРЯДКУ</w:t>
      </w:r>
      <w:r w:rsidR="00F42D0E" w:rsidRPr="00F64C64">
        <w:rPr>
          <w:b/>
          <w:lang w:val="uk-UA"/>
        </w:rPr>
        <w:t xml:space="preserve"> </w:t>
      </w:r>
      <w:r w:rsidRPr="00F64C64">
        <w:rPr>
          <w:b/>
          <w:lang w:val="uk-UA"/>
        </w:rPr>
        <w:t>ДЕННОГО:</w:t>
      </w:r>
    </w:p>
    <w:p w:rsidR="00556ED4" w:rsidRPr="00F64C64" w:rsidRDefault="00556ED4" w:rsidP="00B709BF">
      <w:pPr>
        <w:autoSpaceDE w:val="0"/>
        <w:autoSpaceDN w:val="0"/>
        <w:adjustRightInd w:val="0"/>
      </w:pPr>
    </w:p>
    <w:p w:rsidR="005E15E6" w:rsidRPr="00773FEA" w:rsidRDefault="005E15E6" w:rsidP="005E15E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uk-UA"/>
        </w:rPr>
      </w:pPr>
      <w:r w:rsidRPr="00773FEA">
        <w:rPr>
          <w:b/>
          <w:sz w:val="22"/>
          <w:szCs w:val="22"/>
          <w:lang w:val="uk-UA"/>
        </w:rPr>
        <w:t xml:space="preserve">Звіт директора </w:t>
      </w:r>
      <w:proofErr w:type="spellStart"/>
      <w:r w:rsidRPr="00773FEA">
        <w:rPr>
          <w:b/>
          <w:sz w:val="22"/>
          <w:szCs w:val="22"/>
          <w:lang w:val="uk-UA"/>
        </w:rPr>
        <w:t>ПрАТ</w:t>
      </w:r>
      <w:proofErr w:type="spellEnd"/>
      <w:r w:rsidRPr="00773FEA">
        <w:rPr>
          <w:b/>
          <w:sz w:val="22"/>
          <w:szCs w:val="22"/>
          <w:lang w:val="uk-UA"/>
        </w:rPr>
        <w:t xml:space="preserve"> </w:t>
      </w:r>
      <w:r w:rsidRPr="00773FEA">
        <w:rPr>
          <w:b/>
          <w:sz w:val="22"/>
          <w:szCs w:val="22"/>
        </w:rPr>
        <w:t>«</w:t>
      </w:r>
      <w:proofErr w:type="spellStart"/>
      <w:r w:rsidR="00773FEA" w:rsidRPr="00773FEA">
        <w:rPr>
          <w:b/>
          <w:sz w:val="22"/>
          <w:szCs w:val="22"/>
          <w:lang w:val="uk-UA"/>
        </w:rPr>
        <w:t>Будавтодор</w:t>
      </w:r>
      <w:proofErr w:type="spellEnd"/>
      <w:r w:rsidRPr="00773FEA">
        <w:rPr>
          <w:b/>
          <w:sz w:val="22"/>
          <w:szCs w:val="22"/>
        </w:rPr>
        <w:t xml:space="preserve">»  </w:t>
      </w:r>
      <w:r w:rsidRPr="00773FEA">
        <w:rPr>
          <w:b/>
          <w:sz w:val="22"/>
          <w:szCs w:val="22"/>
          <w:lang w:val="uk-UA"/>
        </w:rPr>
        <w:t>про результатами  фінансово-господарської діяльно</w:t>
      </w:r>
      <w:r w:rsidR="00773FEA" w:rsidRPr="00773FEA">
        <w:rPr>
          <w:b/>
          <w:sz w:val="22"/>
          <w:szCs w:val="22"/>
          <w:lang w:val="uk-UA"/>
        </w:rPr>
        <w:t>сті Товариства за 2021-2022 рр.</w:t>
      </w:r>
      <w:r w:rsidRPr="00773FEA">
        <w:rPr>
          <w:b/>
          <w:sz w:val="22"/>
          <w:szCs w:val="22"/>
          <w:lang w:val="uk-UA"/>
        </w:rPr>
        <w:t xml:space="preserve"> Прийняття рішення за результатами розгляду звіту директора.</w:t>
      </w:r>
    </w:p>
    <w:p w:rsidR="00E547ED" w:rsidRPr="00F64C64" w:rsidRDefault="00223D17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773FEA">
        <w:rPr>
          <w:i/>
          <w:lang w:val="uk-UA"/>
        </w:rPr>
        <w:t>Проект рі</w:t>
      </w:r>
      <w:r w:rsidR="005E15E6" w:rsidRPr="00773FEA">
        <w:rPr>
          <w:i/>
          <w:lang w:val="uk-UA"/>
        </w:rPr>
        <w:t>шення</w:t>
      </w:r>
      <w:r w:rsidR="005E15E6">
        <w:rPr>
          <w:i/>
          <w:lang w:val="uk-UA"/>
        </w:rPr>
        <w:t>: Затвердити звіт Директора</w:t>
      </w:r>
      <w:r w:rsidRPr="00F64C64">
        <w:rPr>
          <w:i/>
          <w:lang w:val="uk-UA"/>
        </w:rPr>
        <w:t xml:space="preserve"> про результати фінансово-господарської діяльності Товариства за 2021-2022 роки.</w:t>
      </w:r>
    </w:p>
    <w:p w:rsidR="00773FEA" w:rsidRDefault="00773FEA" w:rsidP="00B709B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B13733" w:rsidRDefault="00773FEA" w:rsidP="00B709B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773FEA" w:rsidRPr="00773FEA" w:rsidRDefault="00773FEA" w:rsidP="00B709BF">
      <w:pPr>
        <w:autoSpaceDE w:val="0"/>
        <w:autoSpaceDN w:val="0"/>
        <w:adjustRightInd w:val="0"/>
        <w:ind w:left="567"/>
        <w:jc w:val="both"/>
        <w:rPr>
          <w:b/>
          <w:i/>
          <w:sz w:val="22"/>
          <w:szCs w:val="22"/>
          <w:lang w:val="uk-UA"/>
        </w:rPr>
      </w:pPr>
    </w:p>
    <w:p w:rsidR="005E15E6" w:rsidRPr="005E15E6" w:rsidRDefault="005E15E6" w:rsidP="005E15E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773FEA">
        <w:rPr>
          <w:b/>
          <w:sz w:val="22"/>
          <w:szCs w:val="22"/>
          <w:lang w:val="uk-UA"/>
        </w:rPr>
        <w:t>Звіт Наглядової ради Товариства за 2021-2022 рр. Прийняття рішення за результатами розгляду звіту Наглядової ради</w:t>
      </w:r>
      <w:r w:rsidRPr="005E15E6">
        <w:rPr>
          <w:sz w:val="22"/>
          <w:szCs w:val="22"/>
          <w:lang w:val="uk-UA"/>
        </w:rPr>
        <w:t>.</w:t>
      </w:r>
    </w:p>
    <w:p w:rsidR="00B13733" w:rsidRPr="00F64C64" w:rsidRDefault="00B13733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C526DD" w:rsidRPr="00F64C64">
        <w:rPr>
          <w:i/>
          <w:lang w:val="uk-UA"/>
        </w:rPr>
        <w:t>З</w:t>
      </w:r>
      <w:r w:rsidRPr="00F64C64">
        <w:rPr>
          <w:i/>
          <w:lang w:val="uk-UA"/>
        </w:rPr>
        <w:t>атвердити звіт наглядової ради Товариства за 2021-2022 роки.</w:t>
      </w:r>
    </w:p>
    <w:p w:rsidR="00773FEA" w:rsidRDefault="00773FEA" w:rsidP="00773FEA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773FEA" w:rsidRDefault="00773FEA" w:rsidP="00773FEA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6D370A" w:rsidRPr="00F64C64" w:rsidRDefault="006D370A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5E15E6" w:rsidRPr="00773FEA" w:rsidRDefault="005E15E6" w:rsidP="00EB3210">
      <w:pPr>
        <w:pStyle w:val="a3"/>
        <w:numPr>
          <w:ilvl w:val="0"/>
          <w:numId w:val="13"/>
        </w:numPr>
        <w:jc w:val="both"/>
        <w:rPr>
          <w:b/>
          <w:sz w:val="22"/>
          <w:szCs w:val="22"/>
          <w:lang w:val="uk-UA"/>
        </w:rPr>
      </w:pPr>
      <w:r w:rsidRPr="00773FEA">
        <w:rPr>
          <w:b/>
          <w:sz w:val="22"/>
          <w:szCs w:val="22"/>
          <w:lang w:val="uk-UA"/>
        </w:rPr>
        <w:t>Звіт та висновки ревізора за 2021-2022 рр. Затвердження річного звіту та балансу товариства за 2021-2022 рр.</w:t>
      </w:r>
    </w:p>
    <w:p w:rsidR="005E15E6" w:rsidRDefault="006D370A" w:rsidP="00F544F1">
      <w:pPr>
        <w:autoSpaceDE w:val="0"/>
        <w:autoSpaceDN w:val="0"/>
        <w:adjustRightInd w:val="0"/>
        <w:ind w:left="705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Затвердити  звіт та висновки Ревізора про роботу у 20</w:t>
      </w:r>
      <w:r w:rsidR="005E15E6">
        <w:rPr>
          <w:rFonts w:ascii="Times New Roman CYR" w:hAnsi="Times New Roman CYR" w:cs="Times New Roman CYR"/>
          <w:i/>
          <w:sz w:val="22"/>
          <w:szCs w:val="22"/>
          <w:lang w:val="uk-UA"/>
        </w:rPr>
        <w:t>21-2022 р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р. Річний </w:t>
      </w:r>
      <w:r w:rsidR="00F544F1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 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звіт та баланс Товариства за 20</w:t>
      </w:r>
      <w:r w:rsidR="005E15E6">
        <w:rPr>
          <w:rFonts w:ascii="Times New Roman CYR" w:hAnsi="Times New Roman CYR" w:cs="Times New Roman CYR"/>
          <w:i/>
          <w:sz w:val="22"/>
          <w:szCs w:val="22"/>
          <w:lang w:val="uk-UA"/>
        </w:rPr>
        <w:t>21</w:t>
      </w:r>
      <w:r w:rsidR="00EB3210">
        <w:rPr>
          <w:rFonts w:ascii="Times New Roman CYR" w:hAnsi="Times New Roman CYR" w:cs="Times New Roman CYR"/>
          <w:i/>
          <w:sz w:val="22"/>
          <w:szCs w:val="22"/>
          <w:lang w:val="uk-UA"/>
        </w:rPr>
        <w:t>-2022рр.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— затвердити.</w:t>
      </w: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F544F1" w:rsidRPr="00F64C64" w:rsidRDefault="00F544F1" w:rsidP="00F544F1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6D370A" w:rsidRPr="00F64C64" w:rsidRDefault="006D370A" w:rsidP="005E15E6">
      <w:pPr>
        <w:ind w:left="567" w:hanging="141"/>
        <w:jc w:val="both"/>
        <w:rPr>
          <w:i/>
          <w:lang w:val="uk-UA"/>
        </w:rPr>
      </w:pPr>
    </w:p>
    <w:p w:rsidR="00EB3210" w:rsidRPr="00E512C7" w:rsidRDefault="00EB3210" w:rsidP="00EB321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b/>
          <w:lang w:val="uk-UA"/>
        </w:rPr>
      </w:pPr>
      <w:r w:rsidRPr="00E512C7">
        <w:rPr>
          <w:b/>
          <w:lang w:val="uk-UA"/>
        </w:rPr>
        <w:t>Розподіл прибутку товариства (покриття збитків) за</w:t>
      </w:r>
      <w:r w:rsidR="00F544F1" w:rsidRPr="00E512C7">
        <w:rPr>
          <w:b/>
          <w:lang w:val="uk-UA"/>
        </w:rPr>
        <w:t xml:space="preserve"> підсумками роботи в 2022 </w:t>
      </w:r>
      <w:r w:rsidRPr="00E512C7">
        <w:rPr>
          <w:b/>
          <w:lang w:val="uk-UA"/>
        </w:rPr>
        <w:t>р.</w:t>
      </w:r>
    </w:p>
    <w:p w:rsidR="00EB3210" w:rsidRDefault="00AE4963" w:rsidP="00F544F1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EB3210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затвердити запропонований порядок розподілу прибутку за підсумками роботи підприємства у 20</w:t>
      </w:r>
      <w:r w:rsidR="00EB3210">
        <w:rPr>
          <w:rFonts w:ascii="Times New Roman CYR" w:hAnsi="Times New Roman CYR" w:cs="Times New Roman CYR"/>
          <w:i/>
          <w:sz w:val="22"/>
          <w:szCs w:val="22"/>
          <w:lang w:val="uk-UA"/>
        </w:rPr>
        <w:t>2</w:t>
      </w:r>
      <w:r w:rsidR="00EB3210" w:rsidRPr="00EB3210">
        <w:rPr>
          <w:rFonts w:ascii="Times New Roman CYR" w:hAnsi="Times New Roman CYR" w:cs="Times New Roman CYR"/>
          <w:i/>
          <w:sz w:val="22"/>
          <w:szCs w:val="22"/>
        </w:rPr>
        <w:t>2</w:t>
      </w:r>
      <w:r w:rsidR="00EB3210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 році. </w:t>
      </w:r>
    </w:p>
    <w:p w:rsidR="00AE4963" w:rsidRDefault="00AE4963" w:rsidP="00EB3210">
      <w:pPr>
        <w:ind w:left="567"/>
        <w:jc w:val="both"/>
        <w:rPr>
          <w:lang w:val="uk-UA"/>
        </w:rPr>
      </w:pP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F544F1" w:rsidRPr="00F64C64" w:rsidRDefault="00F544F1" w:rsidP="00EB3210">
      <w:pPr>
        <w:ind w:left="567"/>
        <w:jc w:val="both"/>
        <w:rPr>
          <w:lang w:val="uk-UA"/>
        </w:rPr>
      </w:pPr>
    </w:p>
    <w:p w:rsidR="00EB3210" w:rsidRPr="00F544F1" w:rsidRDefault="00EB3210" w:rsidP="00EB321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uk-UA"/>
        </w:rPr>
      </w:pPr>
      <w:r w:rsidRPr="00F544F1">
        <w:rPr>
          <w:b/>
          <w:lang w:val="uk-UA"/>
        </w:rPr>
        <w:t>Внесення змін та доповнень до  статуту Товариства шляхом його викладення в новій редакції. Затвердження нової редакції статуту Товариства. Визначення осіб, уповноважених на підписання статуту Товариства та вчинення дій з його державної реєстрації.</w:t>
      </w:r>
    </w:p>
    <w:p w:rsidR="009955B9" w:rsidRPr="00F64C64" w:rsidRDefault="00B61617" w:rsidP="00B709BF">
      <w:pPr>
        <w:ind w:left="567"/>
        <w:jc w:val="both"/>
        <w:rPr>
          <w:i/>
          <w:iCs/>
          <w:lang w:val="uk-UA"/>
        </w:rPr>
      </w:pPr>
      <w:r w:rsidRPr="00F64C64">
        <w:rPr>
          <w:i/>
          <w:iCs/>
          <w:lang w:val="uk-UA"/>
        </w:rPr>
        <w:lastRenderedPageBreak/>
        <w:t xml:space="preserve">Проект рішення: </w:t>
      </w:r>
      <w:r w:rsidR="00C526DD" w:rsidRPr="00F64C64">
        <w:rPr>
          <w:i/>
          <w:iCs/>
          <w:lang w:val="uk-UA"/>
        </w:rPr>
        <w:t>В</w:t>
      </w:r>
      <w:r w:rsidRPr="00F64C64">
        <w:rPr>
          <w:i/>
          <w:iCs/>
          <w:lang w:val="uk-UA"/>
        </w:rPr>
        <w:t>нести зміни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до статуту</w:t>
      </w:r>
      <w:r w:rsidR="00223569" w:rsidRPr="00F64C64">
        <w:rPr>
          <w:i/>
          <w:iCs/>
          <w:lang w:val="uk-UA"/>
        </w:rPr>
        <w:t xml:space="preserve"> Товариства </w:t>
      </w:r>
      <w:r w:rsidRPr="00F64C64">
        <w:rPr>
          <w:i/>
          <w:iCs/>
          <w:lang w:val="uk-UA"/>
        </w:rPr>
        <w:t xml:space="preserve">шляхом </w:t>
      </w:r>
      <w:r w:rsidR="00223569" w:rsidRPr="00F64C64">
        <w:rPr>
          <w:i/>
          <w:iCs/>
          <w:lang w:val="uk-UA"/>
        </w:rPr>
        <w:t xml:space="preserve">його </w:t>
      </w:r>
      <w:r w:rsidRPr="00F64C64">
        <w:rPr>
          <w:i/>
          <w:iCs/>
          <w:lang w:val="uk-UA"/>
        </w:rPr>
        <w:t>викладення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в новій редакції. Затвердити нову редакцію статуту</w:t>
      </w:r>
      <w:r w:rsidR="00223569" w:rsidRPr="00F64C64">
        <w:rPr>
          <w:i/>
          <w:iCs/>
          <w:lang w:val="uk-UA"/>
        </w:rPr>
        <w:t xml:space="preserve"> Товариства</w:t>
      </w:r>
      <w:r w:rsidRPr="00F64C64">
        <w:rPr>
          <w:i/>
          <w:iCs/>
          <w:lang w:val="uk-UA"/>
        </w:rPr>
        <w:t xml:space="preserve">. </w:t>
      </w:r>
      <w:r w:rsidR="00946AAE" w:rsidRPr="00F64C64">
        <w:rPr>
          <w:i/>
          <w:iCs/>
          <w:lang w:val="uk-UA"/>
        </w:rPr>
        <w:t xml:space="preserve">Уповноважити </w:t>
      </w:r>
      <w:r w:rsidR="00035BF3" w:rsidRPr="00F64C64">
        <w:rPr>
          <w:i/>
          <w:iCs/>
          <w:lang w:val="uk-UA"/>
        </w:rPr>
        <w:t>г</w:t>
      </w:r>
      <w:r w:rsidR="00946AAE" w:rsidRPr="00F64C64">
        <w:rPr>
          <w:i/>
          <w:iCs/>
          <w:lang w:val="uk-UA"/>
        </w:rPr>
        <w:t>олову та секретаря</w:t>
      </w:r>
      <w:r w:rsidR="00F358F3" w:rsidRPr="00F64C64">
        <w:rPr>
          <w:i/>
          <w:iCs/>
          <w:lang w:val="uk-UA"/>
        </w:rPr>
        <w:t xml:space="preserve"> </w:t>
      </w:r>
      <w:r w:rsidR="00946AAE" w:rsidRPr="00F64C64">
        <w:rPr>
          <w:i/>
          <w:iCs/>
          <w:lang w:val="uk-UA"/>
        </w:rPr>
        <w:t xml:space="preserve">зборів </w:t>
      </w:r>
      <w:r w:rsidR="00E0144D">
        <w:rPr>
          <w:i/>
          <w:iCs/>
          <w:lang w:val="uk-UA"/>
        </w:rPr>
        <w:t xml:space="preserve">на </w:t>
      </w:r>
      <w:r w:rsidR="00F544F1">
        <w:rPr>
          <w:i/>
          <w:iCs/>
          <w:lang w:val="uk-UA"/>
        </w:rPr>
        <w:t>під</w:t>
      </w:r>
      <w:r w:rsidR="00946AAE" w:rsidRPr="00F64C64">
        <w:rPr>
          <w:i/>
          <w:iCs/>
          <w:lang w:val="uk-UA"/>
        </w:rPr>
        <w:t>писа</w:t>
      </w:r>
      <w:r w:rsidR="00E0144D">
        <w:rPr>
          <w:i/>
          <w:iCs/>
          <w:lang w:val="uk-UA"/>
        </w:rPr>
        <w:t>ння</w:t>
      </w:r>
      <w:r w:rsidR="00946AAE" w:rsidRPr="00F64C64">
        <w:rPr>
          <w:i/>
          <w:iCs/>
          <w:lang w:val="uk-UA"/>
        </w:rPr>
        <w:t xml:space="preserve"> </w:t>
      </w:r>
      <w:r w:rsidR="00035B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>татут</w:t>
      </w:r>
      <w:r w:rsidR="00E0144D">
        <w:rPr>
          <w:i/>
          <w:iCs/>
          <w:lang w:val="uk-UA"/>
        </w:rPr>
        <w:t>у</w:t>
      </w:r>
      <w:r w:rsidR="00946AAE" w:rsidRPr="00F64C64">
        <w:rPr>
          <w:i/>
          <w:iCs/>
          <w:lang w:val="uk-UA"/>
        </w:rPr>
        <w:t xml:space="preserve"> Товариства в новій редакції.</w:t>
      </w:r>
      <w:r w:rsidR="00035BF3" w:rsidRPr="00F64C64">
        <w:rPr>
          <w:i/>
          <w:iCs/>
          <w:lang w:val="uk-UA"/>
        </w:rPr>
        <w:t xml:space="preserve"> Уповноважити д</w:t>
      </w:r>
      <w:r w:rsidR="00946AAE" w:rsidRPr="00F64C64">
        <w:rPr>
          <w:i/>
          <w:iCs/>
          <w:lang w:val="uk-UA"/>
        </w:rPr>
        <w:t>иректор</w:t>
      </w:r>
      <w:r w:rsidR="00035BF3" w:rsidRPr="00F64C64">
        <w:rPr>
          <w:i/>
          <w:iCs/>
          <w:lang w:val="uk-UA"/>
        </w:rPr>
        <w:t>а</w:t>
      </w:r>
      <w:r w:rsidR="00946AAE" w:rsidRPr="00F64C64">
        <w:rPr>
          <w:i/>
          <w:iCs/>
          <w:lang w:val="uk-UA"/>
        </w:rPr>
        <w:t xml:space="preserve"> Товариства (з правом передоручення</w:t>
      </w:r>
      <w:r w:rsidR="00035BF3" w:rsidRPr="00F64C64">
        <w:rPr>
          <w:i/>
          <w:iCs/>
          <w:lang w:val="uk-UA"/>
        </w:rPr>
        <w:t xml:space="preserve"> повноважень третім особам</w:t>
      </w:r>
      <w:r w:rsidR="00946AAE" w:rsidRPr="00F64C64">
        <w:rPr>
          <w:i/>
          <w:iCs/>
          <w:lang w:val="uk-UA"/>
        </w:rPr>
        <w:t xml:space="preserve">) </w:t>
      </w:r>
      <w:r w:rsidR="00035BF3" w:rsidRPr="00F64C64">
        <w:rPr>
          <w:i/>
          <w:iCs/>
          <w:lang w:val="uk-UA"/>
        </w:rPr>
        <w:t>на</w:t>
      </w:r>
      <w:r w:rsidR="000C3BC4">
        <w:rPr>
          <w:i/>
          <w:iCs/>
          <w:lang w:val="uk-UA"/>
        </w:rPr>
        <w:t xml:space="preserve"> здійснення </w:t>
      </w:r>
      <w:r w:rsidR="00035BF3" w:rsidRPr="00F64C64">
        <w:rPr>
          <w:i/>
          <w:iCs/>
          <w:lang w:val="uk-UA"/>
        </w:rPr>
        <w:t>всіх необхідни</w:t>
      </w:r>
      <w:r w:rsidR="000C3BC4">
        <w:rPr>
          <w:i/>
          <w:iCs/>
          <w:lang w:val="uk-UA"/>
        </w:rPr>
        <w:t>х</w:t>
      </w:r>
      <w:r w:rsidR="00035BF3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дій </w:t>
      </w:r>
      <w:r w:rsidR="00035BF3" w:rsidRPr="00F64C64">
        <w:rPr>
          <w:i/>
          <w:iCs/>
          <w:lang w:val="uk-UA"/>
        </w:rPr>
        <w:t>та</w:t>
      </w:r>
      <w:r w:rsidR="00F64C64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вчинення </w:t>
      </w:r>
      <w:r w:rsidR="00035BF3" w:rsidRPr="00F64C64">
        <w:rPr>
          <w:i/>
          <w:iCs/>
          <w:lang w:val="uk-UA"/>
        </w:rPr>
        <w:t>будь-яких правочинів</w:t>
      </w:r>
      <w:r w:rsidR="00F358F3" w:rsidRPr="00F64C64">
        <w:rPr>
          <w:i/>
          <w:iCs/>
          <w:lang w:val="uk-UA"/>
        </w:rPr>
        <w:t xml:space="preserve">, пов’язаних з </w:t>
      </w:r>
      <w:r w:rsidR="00946AAE" w:rsidRPr="00F64C64">
        <w:rPr>
          <w:i/>
          <w:iCs/>
          <w:lang w:val="uk-UA"/>
        </w:rPr>
        <w:t>державн</w:t>
      </w:r>
      <w:r w:rsidR="00F358F3" w:rsidRPr="00F64C64">
        <w:rPr>
          <w:i/>
          <w:iCs/>
          <w:lang w:val="uk-UA"/>
        </w:rPr>
        <w:t>ою</w:t>
      </w:r>
      <w:r w:rsidR="00946AAE" w:rsidRPr="00F64C64">
        <w:rPr>
          <w:i/>
          <w:iCs/>
          <w:lang w:val="uk-UA"/>
        </w:rPr>
        <w:t xml:space="preserve"> реєстраці</w:t>
      </w:r>
      <w:r w:rsidR="00F358F3" w:rsidRPr="00F64C64">
        <w:rPr>
          <w:i/>
          <w:iCs/>
          <w:lang w:val="uk-UA"/>
        </w:rPr>
        <w:t>є</w:t>
      </w:r>
      <w:r w:rsidR="00946AAE" w:rsidRPr="00F64C64">
        <w:rPr>
          <w:i/>
          <w:iCs/>
          <w:lang w:val="uk-UA"/>
        </w:rPr>
        <w:t xml:space="preserve">ю </w:t>
      </w:r>
      <w:r w:rsidR="00F358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 xml:space="preserve">татуту Товариства в новій редакції. </w:t>
      </w:r>
    </w:p>
    <w:p w:rsidR="009A2AD0" w:rsidRDefault="009A2AD0" w:rsidP="00B709BF">
      <w:pPr>
        <w:pStyle w:val="ab"/>
        <w:ind w:left="851" w:hanging="284"/>
        <w:jc w:val="both"/>
        <w:rPr>
          <w:b w:val="0"/>
          <w:sz w:val="24"/>
          <w:szCs w:val="24"/>
        </w:rPr>
      </w:pP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F544F1" w:rsidRPr="00F64C64" w:rsidRDefault="00F544F1" w:rsidP="00B709BF">
      <w:pPr>
        <w:pStyle w:val="ab"/>
        <w:ind w:left="851" w:hanging="284"/>
        <w:jc w:val="both"/>
        <w:rPr>
          <w:b w:val="0"/>
          <w:sz w:val="24"/>
          <w:szCs w:val="24"/>
        </w:rPr>
      </w:pPr>
    </w:p>
    <w:p w:rsidR="00EB3210" w:rsidRPr="00F544F1" w:rsidRDefault="00EB3210" w:rsidP="00EB3210">
      <w:pPr>
        <w:pStyle w:val="a3"/>
        <w:numPr>
          <w:ilvl w:val="0"/>
          <w:numId w:val="13"/>
        </w:numPr>
        <w:jc w:val="both"/>
        <w:rPr>
          <w:b/>
          <w:lang w:val="uk-UA"/>
        </w:rPr>
      </w:pPr>
      <w:r w:rsidRPr="00F544F1">
        <w:rPr>
          <w:b/>
          <w:lang w:val="uk-UA"/>
        </w:rPr>
        <w:t>Затвердження внутрішніх положень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Товариства».</w:t>
      </w:r>
    </w:p>
    <w:p w:rsidR="00F544F1" w:rsidRDefault="00EF6C2B" w:rsidP="00B709BF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>Проект рішення:</w:t>
      </w:r>
    </w:p>
    <w:p w:rsidR="00470B9E" w:rsidRPr="00470B9E" w:rsidRDefault="00EF6C2B" w:rsidP="00B709BF">
      <w:pPr>
        <w:ind w:left="567"/>
        <w:jc w:val="both"/>
        <w:rPr>
          <w:lang w:val="uk-UA"/>
        </w:rPr>
      </w:pPr>
      <w:r w:rsidRPr="00F64C64">
        <w:rPr>
          <w:i/>
          <w:lang w:val="uk-UA"/>
        </w:rPr>
        <w:t xml:space="preserve"> </w:t>
      </w:r>
      <w:r w:rsidR="00F544F1">
        <w:t xml:space="preserve">1. </w:t>
      </w:r>
      <w:proofErr w:type="spellStart"/>
      <w:r w:rsidR="00F544F1" w:rsidRPr="00470B9E">
        <w:rPr>
          <w:i/>
        </w:rPr>
        <w:t>Визнати</w:t>
      </w:r>
      <w:proofErr w:type="spellEnd"/>
      <w:r w:rsidR="00F544F1" w:rsidRPr="00470B9E">
        <w:rPr>
          <w:i/>
        </w:rPr>
        <w:t xml:space="preserve"> </w:t>
      </w:r>
      <w:proofErr w:type="gramStart"/>
      <w:r w:rsidR="00F544F1" w:rsidRPr="00470B9E">
        <w:rPr>
          <w:i/>
        </w:rPr>
        <w:t>такими</w:t>
      </w:r>
      <w:proofErr w:type="gramEnd"/>
      <w:r w:rsidR="00F544F1" w:rsidRPr="00470B9E">
        <w:rPr>
          <w:i/>
        </w:rPr>
        <w:t xml:space="preserve">, </w:t>
      </w:r>
      <w:proofErr w:type="spellStart"/>
      <w:r w:rsidR="00F544F1" w:rsidRPr="00470B9E">
        <w:rPr>
          <w:i/>
        </w:rPr>
        <w:t>що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втратили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чинність</w:t>
      </w:r>
      <w:proofErr w:type="spellEnd"/>
      <w:r w:rsidR="00F544F1" w:rsidRPr="00470B9E">
        <w:rPr>
          <w:i/>
        </w:rPr>
        <w:t xml:space="preserve">, </w:t>
      </w:r>
      <w:proofErr w:type="spellStart"/>
      <w:r w:rsidR="00F544F1" w:rsidRPr="00470B9E">
        <w:rPr>
          <w:i/>
        </w:rPr>
        <w:t>положення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Товариства</w:t>
      </w:r>
      <w:proofErr w:type="spellEnd"/>
      <w:r w:rsidR="00F544F1" w:rsidRPr="00470B9E">
        <w:rPr>
          <w:i/>
        </w:rPr>
        <w:t xml:space="preserve"> «Про </w:t>
      </w:r>
      <w:proofErr w:type="spellStart"/>
      <w:r w:rsidR="00F544F1" w:rsidRPr="00470B9E">
        <w:rPr>
          <w:i/>
        </w:rPr>
        <w:t>Загальні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збори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акціонерів</w:t>
      </w:r>
      <w:proofErr w:type="spellEnd"/>
      <w:r w:rsidR="00F544F1" w:rsidRPr="00470B9E">
        <w:rPr>
          <w:i/>
        </w:rPr>
        <w:t xml:space="preserve">», «Про </w:t>
      </w:r>
      <w:r w:rsidR="00F544F1" w:rsidRPr="00470B9E">
        <w:rPr>
          <w:i/>
          <w:lang w:val="uk-UA"/>
        </w:rPr>
        <w:t xml:space="preserve">виконавчий </w:t>
      </w:r>
      <w:r w:rsidR="00470B9E" w:rsidRPr="00470B9E">
        <w:rPr>
          <w:i/>
          <w:lang w:val="uk-UA"/>
        </w:rPr>
        <w:t>орган</w:t>
      </w:r>
      <w:r w:rsidR="00470B9E" w:rsidRPr="00470B9E">
        <w:rPr>
          <w:i/>
        </w:rPr>
        <w:t xml:space="preserve">», «Про </w:t>
      </w:r>
      <w:proofErr w:type="spellStart"/>
      <w:r w:rsidR="00470B9E" w:rsidRPr="00470B9E">
        <w:rPr>
          <w:i/>
        </w:rPr>
        <w:t>Ревізора</w:t>
      </w:r>
      <w:proofErr w:type="spellEnd"/>
      <w:r w:rsidR="00470B9E" w:rsidRPr="00470B9E">
        <w:rPr>
          <w:i/>
        </w:rPr>
        <w:t>»</w:t>
      </w:r>
      <w:r w:rsidR="00470B9E" w:rsidRPr="00470B9E">
        <w:rPr>
          <w:i/>
          <w:lang w:val="uk-UA"/>
        </w:rPr>
        <w:t>, «Про Наглядову раду»</w:t>
      </w:r>
    </w:p>
    <w:p w:rsidR="00470B9E" w:rsidRDefault="00F544F1" w:rsidP="00B709BF">
      <w:pPr>
        <w:ind w:left="567"/>
        <w:jc w:val="both"/>
        <w:rPr>
          <w:lang w:val="uk-UA"/>
        </w:rPr>
      </w:pPr>
      <w:r>
        <w:t xml:space="preserve">2. </w:t>
      </w:r>
      <w:r w:rsidR="00470B9E" w:rsidRPr="00F64C64">
        <w:rPr>
          <w:i/>
          <w:lang w:val="uk-UA"/>
        </w:rPr>
        <w:t>Затвердити внутрішні положення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</w:t>
      </w:r>
      <w:r w:rsidR="00470B9E">
        <w:t xml:space="preserve"> </w:t>
      </w:r>
      <w:r w:rsidRPr="00470B9E">
        <w:rPr>
          <w:i/>
        </w:rPr>
        <w:t xml:space="preserve">шляхом </w:t>
      </w:r>
      <w:proofErr w:type="spellStart"/>
      <w:r w:rsidRPr="00470B9E">
        <w:rPr>
          <w:i/>
        </w:rPr>
        <w:t>викладення</w:t>
      </w:r>
      <w:proofErr w:type="spellEnd"/>
      <w:r w:rsidRPr="00470B9E">
        <w:rPr>
          <w:i/>
        </w:rPr>
        <w:t xml:space="preserve"> в </w:t>
      </w:r>
      <w:proofErr w:type="spellStart"/>
      <w:r w:rsidRPr="00470B9E">
        <w:rPr>
          <w:i/>
        </w:rPr>
        <w:t>новій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редакції</w:t>
      </w:r>
      <w:proofErr w:type="spellEnd"/>
      <w:r w:rsidRPr="00470B9E">
        <w:rPr>
          <w:i/>
        </w:rPr>
        <w:t>.</w:t>
      </w:r>
      <w:r>
        <w:t xml:space="preserve"> </w:t>
      </w:r>
    </w:p>
    <w:p w:rsidR="00470B9E" w:rsidRDefault="00470B9E" w:rsidP="00B709BF">
      <w:pPr>
        <w:ind w:left="567"/>
        <w:jc w:val="both"/>
        <w:rPr>
          <w:lang w:val="uk-UA"/>
        </w:rPr>
      </w:pPr>
    </w:p>
    <w:p w:rsidR="00F544F1" w:rsidRPr="00470B9E" w:rsidRDefault="00F544F1" w:rsidP="00B709BF">
      <w:pPr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470B9E">
        <w:rPr>
          <w:i/>
          <w:sz w:val="22"/>
          <w:szCs w:val="22"/>
        </w:rPr>
        <w:t>Можливість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proofErr w:type="gramStart"/>
      <w:r w:rsidRPr="00470B9E">
        <w:rPr>
          <w:i/>
          <w:sz w:val="22"/>
          <w:szCs w:val="22"/>
        </w:rPr>
        <w:t>п</w:t>
      </w:r>
      <w:proofErr w:type="gramEnd"/>
      <w:r w:rsidRPr="00470B9E">
        <w:rPr>
          <w:i/>
          <w:sz w:val="22"/>
          <w:szCs w:val="22"/>
        </w:rPr>
        <w:t>ідрахунку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голосів</w:t>
      </w:r>
      <w:proofErr w:type="spellEnd"/>
      <w:r w:rsidRPr="00470B9E">
        <w:rPr>
          <w:i/>
          <w:sz w:val="22"/>
          <w:szCs w:val="22"/>
        </w:rPr>
        <w:t xml:space="preserve"> та </w:t>
      </w:r>
      <w:proofErr w:type="spellStart"/>
      <w:r w:rsidRPr="00470B9E">
        <w:rPr>
          <w:i/>
          <w:sz w:val="22"/>
          <w:szCs w:val="22"/>
        </w:rPr>
        <w:t>прийняття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рішення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цього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питання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залежить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в</w:t>
      </w:r>
      <w:r w:rsidR="00470B9E" w:rsidRPr="00470B9E">
        <w:rPr>
          <w:i/>
          <w:sz w:val="22"/>
          <w:szCs w:val="22"/>
        </w:rPr>
        <w:t>ід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прийняття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рішення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з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питання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r w:rsidR="00470B9E" w:rsidRPr="00470B9E">
        <w:rPr>
          <w:i/>
          <w:sz w:val="22"/>
          <w:szCs w:val="22"/>
          <w:lang w:val="uk-UA"/>
        </w:rPr>
        <w:t>5</w:t>
      </w:r>
      <w:r w:rsidRPr="00470B9E">
        <w:rPr>
          <w:i/>
          <w:sz w:val="22"/>
          <w:szCs w:val="22"/>
        </w:rPr>
        <w:t xml:space="preserve"> проекту порядку денного</w:t>
      </w:r>
    </w:p>
    <w:p w:rsidR="00F544F1" w:rsidRDefault="00F544F1" w:rsidP="00B709BF">
      <w:pPr>
        <w:ind w:left="567"/>
        <w:jc w:val="both"/>
        <w:rPr>
          <w:i/>
          <w:lang w:val="uk-UA"/>
        </w:rPr>
      </w:pPr>
    </w:p>
    <w:p w:rsidR="0025717F" w:rsidRDefault="00470B9E" w:rsidP="00470B9E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b/>
          <w:lang w:val="uk-UA"/>
        </w:rPr>
        <w:t xml:space="preserve">Припинення повноважень членів Наглядової ради у зв’язку з закінченням </w:t>
      </w:r>
      <w:r>
        <w:rPr>
          <w:lang w:val="uk-UA"/>
        </w:rPr>
        <w:t xml:space="preserve">терміну повноважень. </w:t>
      </w:r>
    </w:p>
    <w:p w:rsidR="00470B9E" w:rsidRPr="00470B9E" w:rsidRDefault="00470B9E" w:rsidP="00470B9E">
      <w:pPr>
        <w:pStyle w:val="a3"/>
        <w:jc w:val="both"/>
        <w:rPr>
          <w:i/>
          <w:lang w:val="uk-UA"/>
        </w:rPr>
      </w:pPr>
      <w:r w:rsidRPr="00470B9E">
        <w:rPr>
          <w:i/>
          <w:lang w:val="uk-UA"/>
        </w:rPr>
        <w:t>Проект рішення:</w:t>
      </w:r>
      <w:r>
        <w:rPr>
          <w:i/>
          <w:lang w:val="uk-UA"/>
        </w:rPr>
        <w:t xml:space="preserve">Припинити повноваження членів Наглядової ради: </w:t>
      </w:r>
      <w:proofErr w:type="spellStart"/>
      <w:r>
        <w:rPr>
          <w:i/>
          <w:lang w:val="uk-UA"/>
        </w:rPr>
        <w:t>Курах</w:t>
      </w:r>
      <w:proofErr w:type="spellEnd"/>
      <w:r>
        <w:rPr>
          <w:i/>
          <w:lang w:val="uk-UA"/>
        </w:rPr>
        <w:t xml:space="preserve"> О.Ю.,</w:t>
      </w:r>
      <w:proofErr w:type="spellStart"/>
      <w:r>
        <w:rPr>
          <w:i/>
          <w:lang w:val="uk-UA"/>
        </w:rPr>
        <w:t>Мондич</w:t>
      </w:r>
      <w:proofErr w:type="spellEnd"/>
      <w:r>
        <w:rPr>
          <w:i/>
          <w:lang w:val="uk-UA"/>
        </w:rPr>
        <w:t xml:space="preserve"> В.Д., </w:t>
      </w:r>
      <w:proofErr w:type="spellStart"/>
      <w:r>
        <w:rPr>
          <w:i/>
          <w:lang w:val="uk-UA"/>
        </w:rPr>
        <w:t>Кривлянського</w:t>
      </w:r>
      <w:proofErr w:type="spellEnd"/>
      <w:r>
        <w:rPr>
          <w:i/>
          <w:lang w:val="uk-UA"/>
        </w:rPr>
        <w:t xml:space="preserve"> І.Е. у зв’язку з закінченням терміну повноважень.</w:t>
      </w:r>
    </w:p>
    <w:p w:rsidR="00470B9E" w:rsidRDefault="00470B9E" w:rsidP="00470B9E">
      <w:pPr>
        <w:pStyle w:val="a3"/>
        <w:jc w:val="both"/>
        <w:rPr>
          <w:lang w:val="uk-UA"/>
        </w:rPr>
      </w:pPr>
    </w:p>
    <w:p w:rsidR="00470B9E" w:rsidRDefault="00470B9E" w:rsidP="00470B9E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470B9E" w:rsidRPr="00470B9E" w:rsidRDefault="00470B9E" w:rsidP="00470B9E">
      <w:pPr>
        <w:pStyle w:val="a3"/>
        <w:jc w:val="both"/>
        <w:rPr>
          <w:lang w:val="uk-UA"/>
        </w:rPr>
      </w:pPr>
    </w:p>
    <w:p w:rsidR="00470B9E" w:rsidRPr="00470B9E" w:rsidRDefault="00470B9E" w:rsidP="00EB3210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b/>
          <w:lang w:val="uk-UA"/>
        </w:rPr>
        <w:t>Обрання членів Наглядової ради</w:t>
      </w:r>
    </w:p>
    <w:p w:rsidR="00470B9E" w:rsidRDefault="00470B9E" w:rsidP="00470B9E">
      <w:pPr>
        <w:jc w:val="both"/>
        <w:rPr>
          <w:i/>
          <w:lang w:val="uk-UA"/>
        </w:rPr>
      </w:pPr>
      <w:r>
        <w:rPr>
          <w:lang w:val="uk-UA"/>
        </w:rPr>
        <w:t xml:space="preserve">           </w:t>
      </w:r>
      <w:r w:rsidRPr="00470B9E">
        <w:rPr>
          <w:i/>
          <w:lang w:val="uk-UA"/>
        </w:rPr>
        <w:t>Проект рішення:</w:t>
      </w:r>
      <w:r>
        <w:rPr>
          <w:i/>
          <w:lang w:val="uk-UA"/>
        </w:rPr>
        <w:t xml:space="preserve"> Обрати членами Наглядової ради:</w:t>
      </w:r>
    </w:p>
    <w:p w:rsidR="001E7537" w:rsidRPr="00073C65" w:rsidRDefault="001E7537" w:rsidP="00470B9E">
      <w:pPr>
        <w:ind w:left="708" w:firstLine="708"/>
        <w:jc w:val="both"/>
        <w:rPr>
          <w:i/>
          <w:lang w:val="uk-UA"/>
        </w:rPr>
      </w:pPr>
      <w:proofErr w:type="spellStart"/>
      <w:r w:rsidRPr="00073C65">
        <w:rPr>
          <w:i/>
          <w:lang w:val="uk-UA"/>
        </w:rPr>
        <w:t>Курах</w:t>
      </w:r>
      <w:proofErr w:type="spellEnd"/>
      <w:r w:rsidRPr="00073C65">
        <w:rPr>
          <w:i/>
          <w:lang w:val="uk-UA"/>
        </w:rPr>
        <w:t xml:space="preserve"> О.Ю.</w:t>
      </w:r>
      <w:r w:rsidR="00073C65" w:rsidRPr="00073C65">
        <w:rPr>
          <w:i/>
          <w:lang w:val="uk-UA"/>
        </w:rPr>
        <w:t>- акціонер</w:t>
      </w:r>
    </w:p>
    <w:p w:rsidR="001E7537" w:rsidRPr="00073C65" w:rsidRDefault="001E7537" w:rsidP="00470B9E">
      <w:pPr>
        <w:ind w:left="708" w:firstLine="708"/>
        <w:jc w:val="both"/>
        <w:rPr>
          <w:i/>
          <w:lang w:val="uk-UA"/>
        </w:rPr>
      </w:pPr>
      <w:r w:rsidRPr="00073C65">
        <w:rPr>
          <w:i/>
          <w:lang w:val="uk-UA"/>
        </w:rPr>
        <w:t xml:space="preserve"> </w:t>
      </w:r>
      <w:proofErr w:type="spellStart"/>
      <w:r w:rsidRPr="00073C65">
        <w:rPr>
          <w:i/>
          <w:lang w:val="uk-UA"/>
        </w:rPr>
        <w:t>Голян</w:t>
      </w:r>
      <w:proofErr w:type="spellEnd"/>
      <w:r w:rsidRPr="00073C65">
        <w:rPr>
          <w:i/>
          <w:lang w:val="uk-UA"/>
        </w:rPr>
        <w:t xml:space="preserve"> О.Ю.</w:t>
      </w:r>
      <w:r w:rsidR="00073C65" w:rsidRPr="00073C65">
        <w:rPr>
          <w:i/>
          <w:lang w:val="uk-UA"/>
        </w:rPr>
        <w:t>- представник акціонера</w:t>
      </w:r>
    </w:p>
    <w:p w:rsidR="00470B9E" w:rsidRDefault="001E7537" w:rsidP="00470B9E">
      <w:pPr>
        <w:ind w:left="708" w:firstLine="708"/>
        <w:jc w:val="both"/>
        <w:rPr>
          <w:i/>
          <w:lang w:val="uk-UA"/>
        </w:rPr>
      </w:pPr>
      <w:proofErr w:type="spellStart"/>
      <w:r w:rsidRPr="00073C65">
        <w:rPr>
          <w:i/>
          <w:lang w:val="uk-UA"/>
        </w:rPr>
        <w:t>Цуранич</w:t>
      </w:r>
      <w:proofErr w:type="spellEnd"/>
      <w:r w:rsidRPr="00073C65">
        <w:rPr>
          <w:i/>
          <w:lang w:val="uk-UA"/>
        </w:rPr>
        <w:t xml:space="preserve"> В.І.</w:t>
      </w:r>
      <w:r w:rsidR="00073C65" w:rsidRPr="00073C65">
        <w:rPr>
          <w:i/>
          <w:lang w:val="uk-UA"/>
        </w:rPr>
        <w:t>- представник акціонера</w:t>
      </w:r>
    </w:p>
    <w:p w:rsidR="00470B9E" w:rsidRDefault="00470B9E" w:rsidP="00470B9E">
      <w:pPr>
        <w:jc w:val="both"/>
        <w:rPr>
          <w:i/>
          <w:lang w:val="uk-UA"/>
        </w:rPr>
      </w:pPr>
    </w:p>
    <w:p w:rsidR="00470B9E" w:rsidRPr="00470B9E" w:rsidRDefault="00470B9E" w:rsidP="00BA64D1">
      <w:pPr>
        <w:ind w:left="708"/>
        <w:jc w:val="both"/>
        <w:rPr>
          <w:i/>
          <w:sz w:val="22"/>
          <w:szCs w:val="22"/>
          <w:lang w:val="uk-UA"/>
        </w:rPr>
      </w:pPr>
      <w:proofErr w:type="spellStart"/>
      <w:r w:rsidRPr="00470B9E">
        <w:rPr>
          <w:i/>
          <w:sz w:val="22"/>
          <w:szCs w:val="22"/>
        </w:rPr>
        <w:t>Можливість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proofErr w:type="gramStart"/>
      <w:r w:rsidRPr="00470B9E">
        <w:rPr>
          <w:i/>
          <w:sz w:val="22"/>
          <w:szCs w:val="22"/>
        </w:rPr>
        <w:t>п</w:t>
      </w:r>
      <w:proofErr w:type="gramEnd"/>
      <w:r w:rsidRPr="00470B9E">
        <w:rPr>
          <w:i/>
          <w:sz w:val="22"/>
          <w:szCs w:val="22"/>
        </w:rPr>
        <w:t>ідрахунку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голосів</w:t>
      </w:r>
      <w:proofErr w:type="spellEnd"/>
      <w:r w:rsidRPr="00470B9E">
        <w:rPr>
          <w:i/>
          <w:sz w:val="22"/>
          <w:szCs w:val="22"/>
        </w:rPr>
        <w:t xml:space="preserve"> та </w:t>
      </w:r>
      <w:proofErr w:type="spellStart"/>
      <w:r w:rsidRPr="00470B9E">
        <w:rPr>
          <w:i/>
          <w:sz w:val="22"/>
          <w:szCs w:val="22"/>
        </w:rPr>
        <w:t>прийняття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рішення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цього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питання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залежить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від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прийняття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рішення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питання</w:t>
      </w:r>
      <w:proofErr w:type="spellEnd"/>
      <w:r w:rsidRPr="00470B9E">
        <w:rPr>
          <w:i/>
          <w:sz w:val="22"/>
          <w:szCs w:val="22"/>
        </w:rPr>
        <w:t xml:space="preserve"> </w:t>
      </w:r>
      <w:r w:rsidRPr="00470B9E">
        <w:rPr>
          <w:i/>
          <w:sz w:val="22"/>
          <w:szCs w:val="22"/>
          <w:lang w:val="uk-UA"/>
        </w:rPr>
        <w:t>7</w:t>
      </w:r>
      <w:r w:rsidRPr="00470B9E">
        <w:rPr>
          <w:i/>
          <w:sz w:val="22"/>
          <w:szCs w:val="22"/>
        </w:rPr>
        <w:t xml:space="preserve"> проекту порядку денного</w:t>
      </w:r>
    </w:p>
    <w:p w:rsidR="00470B9E" w:rsidRPr="00470B9E" w:rsidRDefault="00470B9E" w:rsidP="00470B9E">
      <w:pPr>
        <w:jc w:val="both"/>
        <w:rPr>
          <w:i/>
          <w:sz w:val="22"/>
          <w:szCs w:val="22"/>
          <w:lang w:val="uk-UA"/>
        </w:rPr>
      </w:pPr>
    </w:p>
    <w:p w:rsidR="00470B9E" w:rsidRPr="00470B9E" w:rsidRDefault="00470B9E" w:rsidP="00470B9E">
      <w:pPr>
        <w:jc w:val="both"/>
        <w:rPr>
          <w:lang w:val="uk-UA"/>
        </w:rPr>
      </w:pPr>
    </w:p>
    <w:p w:rsidR="00EB3210" w:rsidRPr="00BA64D1" w:rsidRDefault="00EB3210" w:rsidP="00EB3210">
      <w:pPr>
        <w:pStyle w:val="a3"/>
        <w:numPr>
          <w:ilvl w:val="0"/>
          <w:numId w:val="13"/>
        </w:numPr>
        <w:jc w:val="both"/>
        <w:rPr>
          <w:b/>
          <w:lang w:val="uk-UA"/>
        </w:rPr>
      </w:pPr>
      <w:r w:rsidRPr="00BA64D1">
        <w:rPr>
          <w:b/>
          <w:lang w:val="uk-UA"/>
        </w:rPr>
        <w:t>Припинення повноважень Ревізора Товариства у зв’язку із  змінами законодавства.</w:t>
      </w:r>
    </w:p>
    <w:p w:rsidR="00817E38" w:rsidRPr="00F64C64" w:rsidRDefault="00817E38" w:rsidP="005B4042">
      <w:pPr>
        <w:ind w:left="567"/>
        <w:jc w:val="both"/>
        <w:rPr>
          <w:i/>
          <w:lang w:val="uk-UA"/>
        </w:rPr>
      </w:pPr>
      <w:r w:rsidRPr="00F64C64">
        <w:rPr>
          <w:i/>
          <w:iCs/>
          <w:lang w:val="uk-UA"/>
        </w:rPr>
        <w:t>Проект рішення:</w:t>
      </w:r>
      <w:r w:rsidRPr="00F64C64">
        <w:rPr>
          <w:i/>
          <w:lang w:val="uk-UA"/>
        </w:rPr>
        <w:t xml:space="preserve"> </w:t>
      </w:r>
      <w:r w:rsidR="00EB3210">
        <w:rPr>
          <w:i/>
          <w:lang w:val="uk-UA"/>
        </w:rPr>
        <w:t>Припинити повноваження Ревізора Товариства у зв’язку із змінами законодавства.</w:t>
      </w:r>
    </w:p>
    <w:p w:rsidR="00817E38" w:rsidRPr="00BA64D1" w:rsidRDefault="00BA64D1" w:rsidP="00817E38">
      <w:pPr>
        <w:ind w:left="567"/>
        <w:jc w:val="both"/>
        <w:rPr>
          <w:i/>
          <w:iCs/>
          <w:sz w:val="22"/>
          <w:szCs w:val="22"/>
          <w:lang w:val="uk-UA"/>
        </w:rPr>
      </w:pPr>
      <w:proofErr w:type="spellStart"/>
      <w:r w:rsidRPr="00BA64D1">
        <w:rPr>
          <w:i/>
          <w:sz w:val="22"/>
          <w:szCs w:val="22"/>
        </w:rPr>
        <w:t>Можливість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proofErr w:type="gramStart"/>
      <w:r w:rsidRPr="00BA64D1">
        <w:rPr>
          <w:i/>
          <w:sz w:val="22"/>
          <w:szCs w:val="22"/>
        </w:rPr>
        <w:t>п</w:t>
      </w:r>
      <w:proofErr w:type="gramEnd"/>
      <w:r w:rsidRPr="00BA64D1">
        <w:rPr>
          <w:i/>
          <w:sz w:val="22"/>
          <w:szCs w:val="22"/>
        </w:rPr>
        <w:t>ідрахунку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голосів</w:t>
      </w:r>
      <w:proofErr w:type="spellEnd"/>
      <w:r w:rsidRPr="00BA64D1">
        <w:rPr>
          <w:i/>
          <w:sz w:val="22"/>
          <w:szCs w:val="22"/>
        </w:rPr>
        <w:t xml:space="preserve"> та </w:t>
      </w:r>
      <w:proofErr w:type="spellStart"/>
      <w:r w:rsidRPr="00BA64D1">
        <w:rPr>
          <w:i/>
          <w:sz w:val="22"/>
          <w:szCs w:val="22"/>
        </w:rPr>
        <w:t>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рішення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з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цього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питання</w:t>
      </w:r>
      <w:proofErr w:type="spellEnd"/>
      <w:r w:rsidRPr="00BA64D1">
        <w:rPr>
          <w:i/>
          <w:sz w:val="22"/>
          <w:szCs w:val="22"/>
        </w:rPr>
        <w:t xml:space="preserve"> не </w:t>
      </w:r>
      <w:proofErr w:type="spellStart"/>
      <w:r w:rsidRPr="00BA64D1">
        <w:rPr>
          <w:i/>
          <w:sz w:val="22"/>
          <w:szCs w:val="22"/>
        </w:rPr>
        <w:t>залежить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від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або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неприйняття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рішень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з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попередніх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питань</w:t>
      </w:r>
      <w:proofErr w:type="spellEnd"/>
      <w:r w:rsidRPr="00BA64D1">
        <w:rPr>
          <w:i/>
          <w:sz w:val="22"/>
          <w:szCs w:val="22"/>
        </w:rPr>
        <w:t xml:space="preserve">, </w:t>
      </w:r>
      <w:proofErr w:type="spellStart"/>
      <w:r w:rsidRPr="00BA64D1">
        <w:rPr>
          <w:i/>
          <w:sz w:val="22"/>
          <w:szCs w:val="22"/>
        </w:rPr>
        <w:t>включених</w:t>
      </w:r>
      <w:proofErr w:type="spellEnd"/>
      <w:r w:rsidRPr="00BA64D1">
        <w:rPr>
          <w:i/>
          <w:sz w:val="22"/>
          <w:szCs w:val="22"/>
        </w:rPr>
        <w:t xml:space="preserve"> до проекту порядку денного</w:t>
      </w:r>
    </w:p>
    <w:p w:rsidR="00A2798F" w:rsidRPr="00F64C64" w:rsidRDefault="00A2798F" w:rsidP="00B709BF">
      <w:pPr>
        <w:ind w:left="567"/>
        <w:jc w:val="both"/>
        <w:rPr>
          <w:b/>
          <w:lang w:val="uk-UA"/>
        </w:rPr>
      </w:pP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Акціонери мають право ознайомитись з матеріалами до загальних зборів та документами, необхідними для прийняття рішень з питань, включених до проекту порядку денного, та проектами рішень з питань, що виносяться на голосування. Запит на ознайомлення з документами, необхідними акціонерам для прийняття рішень з питань, включених до проекту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 адресу </w:t>
      </w:r>
      <w:r w:rsidRPr="00F64C64">
        <w:rPr>
          <w:lang w:val="uk-UA"/>
        </w:rPr>
        <w:lastRenderedPageBreak/>
        <w:t>електронної пошти акціонера, з якої направлено запит, із засвідченням документів кваліфікованим електронним підписом.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Особа, відповідальна за порядок ознайомлення акціонерів з документами –</w:t>
      </w:r>
      <w:r w:rsidR="0071775C" w:rsidRPr="00F64C64">
        <w:rPr>
          <w:lang w:val="uk-UA"/>
        </w:rPr>
        <w:t xml:space="preserve"> голова </w:t>
      </w:r>
      <w:r w:rsidR="001709BD">
        <w:rPr>
          <w:lang w:val="uk-UA"/>
        </w:rPr>
        <w:t xml:space="preserve">Наглядової ради </w:t>
      </w:r>
      <w:proofErr w:type="spellStart"/>
      <w:r w:rsidR="001709BD">
        <w:rPr>
          <w:lang w:val="uk-UA"/>
        </w:rPr>
        <w:t>ПрАТ</w:t>
      </w:r>
      <w:proofErr w:type="spellEnd"/>
      <w:r w:rsidR="001709BD">
        <w:rPr>
          <w:lang w:val="uk-UA"/>
        </w:rPr>
        <w:t xml:space="preserve"> «</w:t>
      </w:r>
      <w:proofErr w:type="spellStart"/>
      <w:r w:rsidR="00BA64D1">
        <w:rPr>
          <w:lang w:val="uk-UA"/>
        </w:rPr>
        <w:t>Будавтодор</w:t>
      </w:r>
      <w:proofErr w:type="spellEnd"/>
      <w:r w:rsidR="001709BD">
        <w:rPr>
          <w:lang w:val="uk-UA"/>
        </w:rPr>
        <w:t xml:space="preserve">» </w:t>
      </w:r>
      <w:proofErr w:type="spellStart"/>
      <w:r w:rsidR="00BA64D1">
        <w:rPr>
          <w:lang w:val="uk-UA"/>
        </w:rPr>
        <w:t>Курах</w:t>
      </w:r>
      <w:proofErr w:type="spellEnd"/>
      <w:r w:rsidR="00BA64D1">
        <w:rPr>
          <w:lang w:val="uk-UA"/>
        </w:rPr>
        <w:t xml:space="preserve"> Ольга Юріївна</w:t>
      </w:r>
      <w:r w:rsidRPr="00F64C64">
        <w:rPr>
          <w:lang w:val="uk-UA"/>
        </w:rPr>
        <w:t>,  телефони для дові</w:t>
      </w:r>
      <w:r w:rsidR="00372BAC" w:rsidRPr="00F64C64">
        <w:rPr>
          <w:lang w:val="uk-UA"/>
        </w:rPr>
        <w:t>док</w:t>
      </w:r>
      <w:r w:rsidR="0071775C" w:rsidRPr="00F64C64">
        <w:rPr>
          <w:lang w:val="uk-UA"/>
        </w:rPr>
        <w:t xml:space="preserve">: </w:t>
      </w:r>
      <w:r w:rsidR="001709BD">
        <w:rPr>
          <w:lang w:val="uk-UA"/>
        </w:rPr>
        <w:t xml:space="preserve"> </w:t>
      </w:r>
      <w:r w:rsidR="00BA64D1">
        <w:rPr>
          <w:sz w:val="22"/>
          <w:szCs w:val="22"/>
          <w:lang w:val="uk-UA"/>
        </w:rPr>
        <w:t>+380665937888</w:t>
      </w:r>
      <w:r w:rsidR="00B17F78" w:rsidRPr="00F64C64">
        <w:rPr>
          <w:lang w:val="uk-UA"/>
        </w:rPr>
        <w:t>.</w:t>
      </w:r>
    </w:p>
    <w:p w:rsidR="004712E9" w:rsidRPr="001709BD" w:rsidRDefault="004712E9" w:rsidP="00B709B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проекту порядку денного загальних зборів та проектів рішень</w:t>
      </w:r>
      <w:r w:rsidR="00E57D27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до кожного з питань, що включені до проекту порядку денного: </w:t>
      </w:r>
      <w:r w:rsidR="00F77213" w:rsidRPr="00F77213">
        <w:rPr>
          <w:lang w:val="uk-UA"/>
        </w:rPr>
        <w:t>budavtodor@gmail.com</w:t>
      </w:r>
      <w:r w:rsidR="001709BD">
        <w:rPr>
          <w:lang w:val="uk-UA"/>
        </w:rPr>
        <w:t>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Адреса веб</w:t>
      </w:r>
      <w:r w:rsidR="0099248F" w:rsidRPr="00F64C64">
        <w:rPr>
          <w:lang w:val="uk-UA"/>
        </w:rPr>
        <w:t>-</w:t>
      </w:r>
      <w:r w:rsidRPr="00F64C64">
        <w:rPr>
          <w:lang w:val="uk-UA"/>
        </w:rPr>
        <w:t xml:space="preserve">сайту, на 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України: </w:t>
      </w:r>
      <w:r w:rsidR="00372BAC" w:rsidRPr="00F64C64">
        <w:rPr>
          <w:lang w:val="uk-UA"/>
        </w:rPr>
        <w:t>http://</w:t>
      </w:r>
      <w:r w:rsidR="00F77213" w:rsidRPr="00F77213">
        <w:rPr>
          <w:lang w:val="uk-UA"/>
        </w:rPr>
        <w:t>budavtodor.pat.ua</w:t>
      </w:r>
      <w:r w:rsidRPr="00F64C64">
        <w:rPr>
          <w:lang w:val="uk-UA"/>
        </w:rPr>
        <w:t>.</w:t>
      </w:r>
    </w:p>
    <w:p w:rsidR="00EE65DF" w:rsidRPr="00F64C64" w:rsidRDefault="00EE65DF" w:rsidP="00F77213">
      <w:pPr>
        <w:jc w:val="both"/>
        <w:rPr>
          <w:lang w:val="uk-UA"/>
        </w:rPr>
      </w:pPr>
      <w:r w:rsidRPr="00F64C64">
        <w:rPr>
          <w:lang w:val="uk-UA"/>
        </w:rPr>
        <w:t>Акціонери мають право надсилати свої пропозиції до прое</w:t>
      </w:r>
      <w:r w:rsidR="00F77213">
        <w:rPr>
          <w:lang w:val="uk-UA"/>
        </w:rPr>
        <w:t>кту порядку денного за адресою:</w:t>
      </w:r>
      <w:r w:rsidR="00F77213" w:rsidRPr="00F77213">
        <w:rPr>
          <w:lang w:val="uk-UA"/>
        </w:rPr>
        <w:t>89425,Закарпатська обл.,Ужгородський р-н,</w:t>
      </w:r>
      <w:proofErr w:type="spellStart"/>
      <w:r w:rsidR="00F77213" w:rsidRPr="00F77213">
        <w:rPr>
          <w:lang w:val="uk-UA"/>
        </w:rPr>
        <w:t>с.Баранинці</w:t>
      </w:r>
      <w:proofErr w:type="spellEnd"/>
      <w:r w:rsidR="00F77213" w:rsidRPr="00F77213">
        <w:rPr>
          <w:lang w:val="uk-UA"/>
        </w:rPr>
        <w:t>, вул..Об’їзна,буд.11 А</w:t>
      </w:r>
      <w:r w:rsidR="00F77213">
        <w:rPr>
          <w:lang w:val="uk-UA"/>
        </w:rPr>
        <w:t xml:space="preserve"> </w:t>
      </w:r>
      <w:r w:rsidRPr="00F64C64">
        <w:rPr>
          <w:lang w:val="uk-UA"/>
        </w:rPr>
        <w:t>, не пізніше ніж за 20 днів до д</w:t>
      </w:r>
      <w:r w:rsidR="001709BD">
        <w:rPr>
          <w:lang w:val="uk-UA"/>
        </w:rPr>
        <w:t xml:space="preserve">ня проведення загальних зборів. </w:t>
      </w:r>
    </w:p>
    <w:p w:rsidR="004712E9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Пропозиції подаються в письмовій формі на адресу за місцезнаходженням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мають містити прізвище, ім’я, по батькові або найменування акціонера(</w:t>
      </w:r>
      <w:proofErr w:type="spellStart"/>
      <w:r w:rsidRPr="00F64C64">
        <w:rPr>
          <w:lang w:val="uk-UA"/>
        </w:rPr>
        <w:t>ів</w:t>
      </w:r>
      <w:proofErr w:type="spellEnd"/>
      <w:r w:rsidRPr="00F64C64">
        <w:rPr>
          <w:lang w:val="uk-UA"/>
        </w:rPr>
        <w:t xml:space="preserve">), який її вносить, кількість та тип належних йому акцій </w:t>
      </w:r>
      <w:r w:rsidR="00E57D27" w:rsidRPr="00F64C64">
        <w:rPr>
          <w:lang w:val="uk-UA"/>
        </w:rPr>
        <w:t>т</w:t>
      </w:r>
      <w:r w:rsidRPr="00F64C64">
        <w:rPr>
          <w:lang w:val="uk-UA"/>
        </w:rPr>
        <w:t>овариства, запропоноване питання для включення до порядку денного з проектом рішення та/або проект рішення до питання, включеного до порядку денного.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зборів.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пошти, зазначену в цьому повідомленні вище.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на заг</w:t>
      </w:r>
      <w:r w:rsidR="004F1A0C" w:rsidRPr="00F64C64">
        <w:rPr>
          <w:lang w:val="uk-UA"/>
        </w:rPr>
        <w:t>альних зборах розпочинається</w:t>
      </w:r>
      <w:r w:rsidR="00F77213">
        <w:rPr>
          <w:lang w:val="uk-UA"/>
        </w:rPr>
        <w:t xml:space="preserve"> 19 вересня</w:t>
      </w:r>
      <w:r w:rsidR="00C5216C" w:rsidRPr="00F64C64">
        <w:rPr>
          <w:lang w:val="uk-UA"/>
        </w:rPr>
        <w:t xml:space="preserve"> </w:t>
      </w:r>
      <w:r w:rsidR="004F1A0C" w:rsidRPr="00F64C64">
        <w:rPr>
          <w:lang w:val="uk-UA"/>
        </w:rPr>
        <w:t>2023</w:t>
      </w:r>
      <w:r w:rsidRPr="00F64C64">
        <w:rPr>
          <w:lang w:val="uk-UA"/>
        </w:rPr>
        <w:t xml:space="preserve"> року з моменту розміщення єдиного бюлетеня для голосування  на сторінці </w:t>
      </w:r>
      <w:r w:rsidR="0035719C" w:rsidRPr="00F77213">
        <w:rPr>
          <w:lang w:val="uk-UA"/>
        </w:rPr>
        <w:t>http://</w:t>
      </w:r>
      <w:r w:rsidR="00F77213" w:rsidRPr="00F77213">
        <w:rPr>
          <w:lang w:val="uk-UA"/>
        </w:rPr>
        <w:t>budavtodor.pat.ua</w:t>
      </w:r>
      <w:r w:rsidR="004F1A0C" w:rsidRPr="00F64C64">
        <w:rPr>
          <w:lang w:val="uk-UA"/>
        </w:rPr>
        <w:t xml:space="preserve">  та завершується о 18 годині </w:t>
      </w:r>
      <w:r w:rsidR="00F77213">
        <w:t>2</w:t>
      </w:r>
      <w:r w:rsidR="00F77213">
        <w:rPr>
          <w:lang w:val="uk-UA"/>
        </w:rPr>
        <w:t>9</w:t>
      </w:r>
      <w:r w:rsidR="00C5216C" w:rsidRPr="00F64C64">
        <w:rPr>
          <w:lang w:val="uk-UA"/>
        </w:rPr>
        <w:t xml:space="preserve"> </w:t>
      </w:r>
      <w:r w:rsidR="00E512C7">
        <w:rPr>
          <w:lang w:val="uk-UA"/>
        </w:rPr>
        <w:t>вересня</w:t>
      </w:r>
      <w:r w:rsidR="009618BD" w:rsidRPr="00F64C64">
        <w:rPr>
          <w:lang w:val="uk-UA"/>
        </w:rPr>
        <w:t xml:space="preserve"> </w:t>
      </w:r>
      <w:r w:rsidRPr="00F64C64">
        <w:rPr>
          <w:lang w:val="uk-UA"/>
        </w:rPr>
        <w:t>2023 року. Голосування на загальних зборах з питань порядку денного проводиться виключно з використанням єдино</w:t>
      </w:r>
      <w:r w:rsidR="004F1A0C" w:rsidRPr="00F64C64">
        <w:rPr>
          <w:lang w:val="uk-UA"/>
        </w:rPr>
        <w:t>го бюлетеня для голосування</w:t>
      </w:r>
      <w:r w:rsidRPr="00F64C64">
        <w:rPr>
          <w:lang w:val="uk-UA"/>
        </w:rPr>
        <w:t xml:space="preserve">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на дату складення переліку акціонерів, які мають право на участь у загальних зборах</w:t>
      </w:r>
      <w:r w:rsidR="00E57D27" w:rsidRPr="00F64C64">
        <w:rPr>
          <w:lang w:val="uk-UA"/>
        </w:rPr>
        <w:t xml:space="preserve"> акціонерів</w:t>
      </w:r>
      <w:r w:rsidRPr="00F64C64">
        <w:rPr>
          <w:lang w:val="uk-UA"/>
        </w:rPr>
        <w:t>.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лише один бюлетень для голосування з одних і тих самих питань порядку денного.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У разі, якщо акціонер має рахунки в цінних паперах в декількох депозитарних установах, на яких обліковуються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Бюлетень, що був отриманий депозитарною установою після завершення часу, відведеного на голосування, вважається таким, що не поданий.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Бюлетені для голосування на загальних зборах засвідчується одним з наступних способів за вибором акціонера: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1) за допомогою кваліфікованого електронного підпису акціонера (його представника);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2) нотаріально, за умови підписання бюлетеня в присутності нотаріуса або посадової особи, яка вчиняє нотаріальні дії;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lastRenderedPageBreak/>
        <w:t>3) депозитарною установою,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за умови підписання бюлетеня в присутності уповноваженої особи депозитарної установи.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Кожен аркуш бюлетеня підписується акціонером (представником акціонера), окрім випадків засвідчення бюлетеня кваліфікованим електронним підписом акціонера (його представника).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чином засвідчені копії.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Представником акціонера на загальних зборах</w:t>
      </w:r>
      <w:r w:rsidR="00337CDB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Посадові особи органів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їх афілійовані особи не можуть бути представниками інших акціонерів</w:t>
      </w:r>
      <w:r w:rsidR="00C14E3C" w:rsidRPr="00F64C64">
        <w:rPr>
          <w:lang w:val="uk-UA"/>
        </w:rPr>
        <w:t xml:space="preserve"> даного товариства </w:t>
      </w:r>
      <w:r w:rsidRPr="00F64C64">
        <w:rPr>
          <w:lang w:val="uk-UA"/>
        </w:rPr>
        <w:t>на загальних зборах</w:t>
      </w:r>
      <w:r w:rsidR="00C14E3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 має право призначити свого представника постійно або на певний строк.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Довіреність на право участі та голосування на загальних зборах </w:t>
      </w:r>
      <w:r w:rsidR="00C14E3C" w:rsidRPr="00F64C64">
        <w:rPr>
          <w:lang w:val="uk-UA"/>
        </w:rPr>
        <w:t>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порядку, встановленому чинним законодавством України.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від імені юридичної особи видається її органом або іншою особою, уповноваженою на це її установчими документами.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 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видати довіреність на право участі та голосування на загальних зборах</w:t>
      </w:r>
      <w:r w:rsidR="0003412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декільком своїм представникам. Якщо направлення бюлетенів для голосування здійснили декілька представників акціонера, яким довіреність видана одночасно, для участі в зазначених зборах допускається той представник, який надав бюлетень першим.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Надання довіреності на право участі та голосування на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не виключає право участі на цих зборах акціонера, який видав довіреність, замість свого представника.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у будь-який час до закінчення строку, відведеного для голосування на загальних зборах відкликати чи замінити свого представника на загальних зборах</w:t>
      </w:r>
      <w:r w:rsidR="0003412C" w:rsidRPr="00F64C64">
        <w:rPr>
          <w:lang w:val="uk-UA"/>
        </w:rPr>
        <w:t xml:space="preserve"> акціонерів</w:t>
      </w:r>
      <w:r w:rsidRPr="00F64C64">
        <w:rPr>
          <w:lang w:val="uk-UA"/>
        </w:rPr>
        <w:t>, повідомивши про це</w:t>
      </w:r>
      <w:r w:rsidR="00EB032F" w:rsidRPr="00F64C64">
        <w:rPr>
          <w:lang w:val="uk-UA"/>
        </w:rPr>
        <w:t xml:space="preserve"> Товариство </w:t>
      </w:r>
      <w:r w:rsidRPr="00F64C64">
        <w:rPr>
          <w:lang w:val="uk-UA"/>
        </w:rPr>
        <w:t>та депозитарну установу,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або взяти участь у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особисто.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Повідомлення акціонером про заміну або відкликання свого представника може здійснюватися за допомогою засобів електронного зв</w:t>
      </w:r>
      <w:r w:rsidR="0003412C" w:rsidRPr="00F64C64">
        <w:rPr>
          <w:lang w:val="uk-UA"/>
        </w:rPr>
        <w:t>’</w:t>
      </w:r>
      <w:r w:rsidRPr="00F64C64">
        <w:rPr>
          <w:lang w:val="uk-UA"/>
        </w:rPr>
        <w:t xml:space="preserve">язку відповідно до законодавства про електронний документообіг.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Особам, яким депозитарною установою відкрито рахунок в цінних паперах на підставі договору з</w:t>
      </w:r>
      <w:r w:rsidR="00EB032F" w:rsidRPr="00F64C64">
        <w:rPr>
          <w:lang w:val="uk-UA"/>
        </w:rPr>
        <w:t xml:space="preserve"> Товариством</w:t>
      </w:r>
      <w:r w:rsidRPr="00F64C64">
        <w:rPr>
          <w:lang w:val="uk-UA"/>
        </w:rPr>
        <w:t>, необхідно укласти договір з депозитарною установою для забезпечення реалізації права на участь у дистанційних загальних зборах акціонерів</w:t>
      </w:r>
      <w:r w:rsidR="00EB032F" w:rsidRPr="00F64C64">
        <w:rPr>
          <w:lang w:val="uk-UA"/>
        </w:rPr>
        <w:t xml:space="preserve"> Товариства</w:t>
      </w:r>
      <w:r w:rsidR="00204223" w:rsidRPr="00F64C64">
        <w:rPr>
          <w:lang w:val="uk-UA"/>
        </w:rPr>
        <w:t>.</w:t>
      </w:r>
    </w:p>
    <w:p w:rsidR="00EB032F" w:rsidRPr="00F64C64" w:rsidRDefault="00EB032F" w:rsidP="00B709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5A7DFF" w:rsidRPr="00073C65" w:rsidRDefault="00E3102E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073C65">
        <w:rPr>
          <w:b/>
          <w:bCs/>
          <w:lang w:val="uk-UA"/>
        </w:rPr>
        <w:lastRenderedPageBreak/>
        <w:t>ОСНОВНІ ПОКАЗНИКИ ФІНАНСОВО-ГОСПОДАРСЬКОЇ ДІЯЛЬНОСТІ</w:t>
      </w:r>
      <w:r w:rsidR="005A7DFF" w:rsidRPr="00073C65">
        <w:rPr>
          <w:b/>
          <w:bCs/>
          <w:lang w:val="uk-UA"/>
        </w:rPr>
        <w:t xml:space="preserve"> </w:t>
      </w:r>
    </w:p>
    <w:p w:rsidR="005A7DFF" w:rsidRPr="00073C65" w:rsidRDefault="00E512C7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proofErr w:type="spellStart"/>
      <w:r w:rsidRPr="00073C65">
        <w:rPr>
          <w:b/>
          <w:bCs/>
          <w:lang w:val="uk-UA"/>
        </w:rPr>
        <w:t>ПрАТ</w:t>
      </w:r>
      <w:proofErr w:type="spellEnd"/>
      <w:r w:rsidRPr="00073C65">
        <w:rPr>
          <w:b/>
          <w:bCs/>
          <w:lang w:val="uk-UA"/>
        </w:rPr>
        <w:t xml:space="preserve"> «</w:t>
      </w:r>
      <w:proofErr w:type="spellStart"/>
      <w:r w:rsidRPr="00073C65">
        <w:rPr>
          <w:b/>
          <w:bCs/>
          <w:lang w:val="uk-UA"/>
        </w:rPr>
        <w:t>Будавтодор</w:t>
      </w:r>
      <w:proofErr w:type="spellEnd"/>
      <w:r w:rsidR="005A7DFF" w:rsidRPr="00073C65">
        <w:rPr>
          <w:b/>
          <w:bCs/>
          <w:lang w:val="uk-UA"/>
        </w:rPr>
        <w:t>»</w:t>
      </w:r>
    </w:p>
    <w:p w:rsidR="00E3102E" w:rsidRPr="00073C65" w:rsidRDefault="00E3102E" w:rsidP="00B709BF">
      <w:pPr>
        <w:autoSpaceDE w:val="0"/>
        <w:autoSpaceDN w:val="0"/>
        <w:adjustRightInd w:val="0"/>
        <w:jc w:val="right"/>
        <w:rPr>
          <w:lang w:val="uk-UA"/>
        </w:rPr>
      </w:pPr>
      <w:r w:rsidRPr="00073C65">
        <w:rPr>
          <w:lang w:val="uk-UA"/>
        </w:rPr>
        <w:t>(тис.</w:t>
      </w:r>
      <w:r w:rsidR="006F267B" w:rsidRPr="00073C65">
        <w:rPr>
          <w:lang w:val="uk-UA"/>
        </w:rPr>
        <w:t xml:space="preserve"> </w:t>
      </w:r>
      <w:r w:rsidRPr="00073C65">
        <w:rPr>
          <w:lang w:val="uk-UA"/>
        </w:rPr>
        <w:t>грн.)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9"/>
        <w:gridCol w:w="1441"/>
        <w:gridCol w:w="1441"/>
      </w:tblGrid>
      <w:tr w:rsidR="000A4863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073C65" w:rsidRDefault="000A4863" w:rsidP="00B709BF">
            <w:pPr>
              <w:jc w:val="center"/>
              <w:rPr>
                <w:b/>
                <w:bCs/>
                <w:lang w:val="uk-UA"/>
              </w:rPr>
            </w:pPr>
            <w:r w:rsidRPr="00073C65">
              <w:rPr>
                <w:rStyle w:val="a4"/>
                <w:lang w:val="uk-UA"/>
              </w:rPr>
              <w:t>Найменування показника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73C65">
              <w:rPr>
                <w:rStyle w:val="a4"/>
              </w:rPr>
              <w:t>ПЕРІОД</w:t>
            </w:r>
          </w:p>
        </w:tc>
      </w:tr>
      <w:tr w:rsidR="000A4863" w:rsidRPr="00F64C64" w:rsidTr="00AC4A51">
        <w:trPr>
          <w:trHeight w:val="198"/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6"/>
              <w:rPr>
                <w:lang w:val="uk-U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 xml:space="preserve">Попередній </w:t>
            </w:r>
            <w:r w:rsidR="000A4863" w:rsidRPr="00F64C64">
              <w:rPr>
                <w:lang w:val="uk-UA"/>
              </w:rPr>
              <w:t>20</w:t>
            </w:r>
            <w:r w:rsidR="00F64516" w:rsidRPr="00F64C64">
              <w:rPr>
                <w:lang w:val="uk-UA"/>
              </w:rPr>
              <w:t>2</w:t>
            </w:r>
            <w:r w:rsidR="004D5949" w:rsidRPr="00F64C64">
              <w:rPr>
                <w:lang w:val="uk-UA"/>
              </w:rPr>
              <w:t>1</w:t>
            </w:r>
            <w:r w:rsidR="000A4863" w:rsidRPr="00F64C64">
              <w:rPr>
                <w:lang w:val="uk-UA"/>
              </w:rPr>
              <w:t xml:space="preserve"> р.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Звітний</w:t>
            </w:r>
          </w:p>
          <w:p w:rsidR="000A4863" w:rsidRPr="00F64C64" w:rsidRDefault="000A4863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20</w:t>
            </w:r>
            <w:r w:rsidR="004D5949" w:rsidRPr="00F64C64">
              <w:rPr>
                <w:lang w:val="uk-UA"/>
              </w:rPr>
              <w:t>2</w:t>
            </w:r>
            <w:r w:rsidR="00AC4A51" w:rsidRPr="00F64C64">
              <w:rPr>
                <w:lang w:val="uk-UA"/>
              </w:rPr>
              <w:t>2</w:t>
            </w:r>
            <w:r w:rsidRPr="00F64C64">
              <w:rPr>
                <w:lang w:val="uk-UA"/>
              </w:rPr>
              <w:t xml:space="preserve"> р.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1. Усього активів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1E7537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25139,4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1E7537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30168,1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2. Основні засоби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6263,5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6863,0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35719C" w:rsidP="00AC4A5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3. Інші</w:t>
            </w:r>
            <w:r w:rsidR="00AC4A51" w:rsidRPr="00F64C64">
              <w:rPr>
                <w:lang w:val="uk-UA"/>
              </w:rPr>
              <w:t xml:space="preserve"> фінансові інвестиції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85,8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85,8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4. Запаси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869,5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464,6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5. Сумарна дебіторська заборгованість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1513,7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705,6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6. Грошові кошти та їх еквіваленти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16401,3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22047,3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7. Нерозподілений прибуток (непокритий збиток)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17286,1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18834,5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8. Власний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9. Статутний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1455,2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1455,2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10. Довгострокові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11. Поточні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5129,8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8732,5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12. Чистий прибуток (збиток</w:t>
            </w:r>
            <w:r w:rsidR="00514F4B">
              <w:rPr>
                <w:lang w:val="uk-UA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(-873,4)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+139</w:t>
            </w:r>
            <w:bookmarkStart w:id="0" w:name="_GoBack"/>
            <w:bookmarkEnd w:id="0"/>
            <w:r>
              <w:rPr>
                <w:lang w:val="uk-UA"/>
              </w:rPr>
              <w:t>1,2</w:t>
            </w:r>
          </w:p>
        </w:tc>
      </w:tr>
      <w:tr w:rsidR="00514F4B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4B" w:rsidRPr="00F64C64" w:rsidRDefault="00514F4B" w:rsidP="00AC4A5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13.Чисельність працюючих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F4B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F4B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</w:tbl>
    <w:p w:rsidR="005B11F4" w:rsidRPr="00F64C64" w:rsidRDefault="005B11F4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6169E9" w:rsidRPr="00F64C64" w:rsidRDefault="00514F4B" w:rsidP="00B709BF">
      <w:pPr>
        <w:jc w:val="right"/>
        <w:rPr>
          <w:b/>
          <w:lang w:val="en-US"/>
        </w:rPr>
      </w:pPr>
      <w:r>
        <w:rPr>
          <w:lang w:val="uk-UA"/>
        </w:rPr>
        <w:t>Директор Товариства.</w:t>
      </w:r>
      <w:r w:rsidR="004F1A0C" w:rsidRPr="00F64C64">
        <w:rPr>
          <w:lang w:val="uk-UA"/>
        </w:rPr>
        <w:t xml:space="preserve"> </w:t>
      </w:r>
    </w:p>
    <w:sectPr w:rsidR="006169E9" w:rsidRPr="00F64C64" w:rsidSect="006F267B">
      <w:footerReference w:type="default" r:id="rId8"/>
      <w:pgSz w:w="11906" w:h="16838" w:code="9"/>
      <w:pgMar w:top="567" w:right="567" w:bottom="567" w:left="1418" w:header="283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BA" w:rsidRDefault="008E65BA" w:rsidP="005A7DFF">
      <w:r>
        <w:separator/>
      </w:r>
    </w:p>
  </w:endnote>
  <w:endnote w:type="continuationSeparator" w:id="0">
    <w:p w:rsidR="008E65BA" w:rsidRDefault="008E65BA" w:rsidP="005A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638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3406" w:rsidRPr="00603406" w:rsidRDefault="003E2DB4">
        <w:pPr>
          <w:pStyle w:val="af"/>
          <w:jc w:val="center"/>
          <w:rPr>
            <w:sz w:val="16"/>
            <w:szCs w:val="16"/>
          </w:rPr>
        </w:pPr>
        <w:r w:rsidRPr="00603406">
          <w:rPr>
            <w:sz w:val="16"/>
            <w:szCs w:val="16"/>
          </w:rPr>
          <w:fldChar w:fldCharType="begin"/>
        </w:r>
        <w:r w:rsidR="00603406" w:rsidRPr="00603406">
          <w:rPr>
            <w:sz w:val="16"/>
            <w:szCs w:val="16"/>
          </w:rPr>
          <w:instrText>PAGE   \* MERGEFORMAT</w:instrText>
        </w:r>
        <w:r w:rsidRPr="00603406">
          <w:rPr>
            <w:sz w:val="16"/>
            <w:szCs w:val="16"/>
          </w:rPr>
          <w:fldChar w:fldCharType="separate"/>
        </w:r>
        <w:r w:rsidR="005D4C18" w:rsidRPr="005D4C18">
          <w:rPr>
            <w:noProof/>
            <w:sz w:val="16"/>
            <w:szCs w:val="16"/>
            <w:lang w:val="uk-UA"/>
          </w:rPr>
          <w:t>5</w:t>
        </w:r>
        <w:r w:rsidRPr="00603406">
          <w:rPr>
            <w:sz w:val="16"/>
            <w:szCs w:val="16"/>
          </w:rPr>
          <w:fldChar w:fldCharType="end"/>
        </w:r>
      </w:p>
    </w:sdtContent>
  </w:sdt>
  <w:p w:rsidR="00603406" w:rsidRPr="00603406" w:rsidRDefault="00603406">
    <w:pPr>
      <w:pStyle w:val="af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BA" w:rsidRDefault="008E65BA" w:rsidP="005A7DFF">
      <w:r>
        <w:separator/>
      </w:r>
    </w:p>
  </w:footnote>
  <w:footnote w:type="continuationSeparator" w:id="0">
    <w:p w:rsidR="008E65BA" w:rsidRDefault="008E65BA" w:rsidP="005A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12C548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005ACE"/>
    <w:multiLevelType w:val="hybridMultilevel"/>
    <w:tmpl w:val="E3C24294"/>
    <w:lvl w:ilvl="0" w:tplc="9BF6CC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390CAF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331"/>
    <w:multiLevelType w:val="hybridMultilevel"/>
    <w:tmpl w:val="5F000418"/>
    <w:lvl w:ilvl="0" w:tplc="C21C5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1B38B6"/>
    <w:multiLevelType w:val="hybridMultilevel"/>
    <w:tmpl w:val="24646134"/>
    <w:lvl w:ilvl="0" w:tplc="88E63F7E">
      <w:start w:val="12"/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1D19F2"/>
    <w:multiLevelType w:val="hybridMultilevel"/>
    <w:tmpl w:val="9A7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4F3"/>
    <w:multiLevelType w:val="hybridMultilevel"/>
    <w:tmpl w:val="E5E2B668"/>
    <w:lvl w:ilvl="0" w:tplc="5F2E01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F23"/>
    <w:multiLevelType w:val="hybridMultilevel"/>
    <w:tmpl w:val="26A4B5DE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5D90"/>
    <w:multiLevelType w:val="hybridMultilevel"/>
    <w:tmpl w:val="30F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18BD"/>
    <w:multiLevelType w:val="hybridMultilevel"/>
    <w:tmpl w:val="64A6B8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E839C7"/>
    <w:multiLevelType w:val="hybridMultilevel"/>
    <w:tmpl w:val="04E08860"/>
    <w:lvl w:ilvl="0" w:tplc="333CEF7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5DAA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D57"/>
    <w:multiLevelType w:val="hybridMultilevel"/>
    <w:tmpl w:val="F4FAD1D8"/>
    <w:lvl w:ilvl="0" w:tplc="40BA85C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3A"/>
    <w:rsid w:val="000075E9"/>
    <w:rsid w:val="000265A2"/>
    <w:rsid w:val="00030850"/>
    <w:rsid w:val="0003412C"/>
    <w:rsid w:val="00035BF3"/>
    <w:rsid w:val="00036CCA"/>
    <w:rsid w:val="00041149"/>
    <w:rsid w:val="000413F0"/>
    <w:rsid w:val="00045F8A"/>
    <w:rsid w:val="00050F10"/>
    <w:rsid w:val="00060919"/>
    <w:rsid w:val="00073C65"/>
    <w:rsid w:val="00084A79"/>
    <w:rsid w:val="000A3FBD"/>
    <w:rsid w:val="000A4863"/>
    <w:rsid w:val="000B1E13"/>
    <w:rsid w:val="000B3274"/>
    <w:rsid w:val="000B7BA2"/>
    <w:rsid w:val="000C3BC4"/>
    <w:rsid w:val="000C4F1E"/>
    <w:rsid w:val="000D5BC9"/>
    <w:rsid w:val="000E0C61"/>
    <w:rsid w:val="000F0617"/>
    <w:rsid w:val="000F34A8"/>
    <w:rsid w:val="000F6853"/>
    <w:rsid w:val="000F73C8"/>
    <w:rsid w:val="00122092"/>
    <w:rsid w:val="001256B3"/>
    <w:rsid w:val="001264E3"/>
    <w:rsid w:val="00126626"/>
    <w:rsid w:val="0013063D"/>
    <w:rsid w:val="001353CF"/>
    <w:rsid w:val="00136A1C"/>
    <w:rsid w:val="00140E17"/>
    <w:rsid w:val="00141FA5"/>
    <w:rsid w:val="0015523A"/>
    <w:rsid w:val="00156BCF"/>
    <w:rsid w:val="00160741"/>
    <w:rsid w:val="001709BD"/>
    <w:rsid w:val="0017617A"/>
    <w:rsid w:val="00177F86"/>
    <w:rsid w:val="00183878"/>
    <w:rsid w:val="001958CA"/>
    <w:rsid w:val="001965CB"/>
    <w:rsid w:val="001A0B24"/>
    <w:rsid w:val="001A0EF4"/>
    <w:rsid w:val="001A5C09"/>
    <w:rsid w:val="001B113D"/>
    <w:rsid w:val="001B19A1"/>
    <w:rsid w:val="001B37D8"/>
    <w:rsid w:val="001B3E0A"/>
    <w:rsid w:val="001C63B3"/>
    <w:rsid w:val="001D0DE7"/>
    <w:rsid w:val="001D2295"/>
    <w:rsid w:val="001E1C45"/>
    <w:rsid w:val="001E3054"/>
    <w:rsid w:val="001E7537"/>
    <w:rsid w:val="001F132D"/>
    <w:rsid w:val="001F39DC"/>
    <w:rsid w:val="001F4592"/>
    <w:rsid w:val="001F6BBB"/>
    <w:rsid w:val="00204223"/>
    <w:rsid w:val="0022247C"/>
    <w:rsid w:val="00223234"/>
    <w:rsid w:val="00223569"/>
    <w:rsid w:val="00223A7A"/>
    <w:rsid w:val="00223D17"/>
    <w:rsid w:val="0023623A"/>
    <w:rsid w:val="002456B4"/>
    <w:rsid w:val="002476A3"/>
    <w:rsid w:val="0025102F"/>
    <w:rsid w:val="00255443"/>
    <w:rsid w:val="0025717F"/>
    <w:rsid w:val="00257FDD"/>
    <w:rsid w:val="002600F2"/>
    <w:rsid w:val="00261D0E"/>
    <w:rsid w:val="00261E71"/>
    <w:rsid w:val="00267104"/>
    <w:rsid w:val="0028358F"/>
    <w:rsid w:val="002835E1"/>
    <w:rsid w:val="00286F74"/>
    <w:rsid w:val="00292255"/>
    <w:rsid w:val="00292747"/>
    <w:rsid w:val="002937C0"/>
    <w:rsid w:val="00293999"/>
    <w:rsid w:val="00296F2A"/>
    <w:rsid w:val="002A3578"/>
    <w:rsid w:val="002B054E"/>
    <w:rsid w:val="002C2C5C"/>
    <w:rsid w:val="002D025C"/>
    <w:rsid w:val="002D1689"/>
    <w:rsid w:val="002D208E"/>
    <w:rsid w:val="002D2773"/>
    <w:rsid w:val="002E06CF"/>
    <w:rsid w:val="002E3E7B"/>
    <w:rsid w:val="002E7CD7"/>
    <w:rsid w:val="002F6846"/>
    <w:rsid w:val="002F7B0B"/>
    <w:rsid w:val="0030349B"/>
    <w:rsid w:val="0030794C"/>
    <w:rsid w:val="00313CB6"/>
    <w:rsid w:val="003150AF"/>
    <w:rsid w:val="00322F62"/>
    <w:rsid w:val="00327978"/>
    <w:rsid w:val="0033222B"/>
    <w:rsid w:val="00337CDB"/>
    <w:rsid w:val="003474FD"/>
    <w:rsid w:val="003479A8"/>
    <w:rsid w:val="003531B1"/>
    <w:rsid w:val="003554FE"/>
    <w:rsid w:val="003565F4"/>
    <w:rsid w:val="0035719C"/>
    <w:rsid w:val="00361809"/>
    <w:rsid w:val="0036273C"/>
    <w:rsid w:val="0036387E"/>
    <w:rsid w:val="00366258"/>
    <w:rsid w:val="00366757"/>
    <w:rsid w:val="00372BAC"/>
    <w:rsid w:val="00376C1E"/>
    <w:rsid w:val="00382409"/>
    <w:rsid w:val="00387BEC"/>
    <w:rsid w:val="00390753"/>
    <w:rsid w:val="00397CA4"/>
    <w:rsid w:val="003A38A0"/>
    <w:rsid w:val="003A39C9"/>
    <w:rsid w:val="003B4F7D"/>
    <w:rsid w:val="003C43E6"/>
    <w:rsid w:val="003C735B"/>
    <w:rsid w:val="003D458D"/>
    <w:rsid w:val="003E2DB4"/>
    <w:rsid w:val="003E681E"/>
    <w:rsid w:val="004015ED"/>
    <w:rsid w:val="0041119D"/>
    <w:rsid w:val="00412A8B"/>
    <w:rsid w:val="00424C49"/>
    <w:rsid w:val="0042506F"/>
    <w:rsid w:val="0043336C"/>
    <w:rsid w:val="0044491C"/>
    <w:rsid w:val="0045058D"/>
    <w:rsid w:val="00453452"/>
    <w:rsid w:val="00453E59"/>
    <w:rsid w:val="00470B9E"/>
    <w:rsid w:val="004712E9"/>
    <w:rsid w:val="00473A26"/>
    <w:rsid w:val="0047676A"/>
    <w:rsid w:val="004A2D53"/>
    <w:rsid w:val="004B1766"/>
    <w:rsid w:val="004B260F"/>
    <w:rsid w:val="004B3801"/>
    <w:rsid w:val="004C2B75"/>
    <w:rsid w:val="004D1430"/>
    <w:rsid w:val="004D270F"/>
    <w:rsid w:val="004D5949"/>
    <w:rsid w:val="004E228E"/>
    <w:rsid w:val="004F1A0C"/>
    <w:rsid w:val="004F255A"/>
    <w:rsid w:val="004F27A8"/>
    <w:rsid w:val="004F4CD5"/>
    <w:rsid w:val="004F550D"/>
    <w:rsid w:val="0050477E"/>
    <w:rsid w:val="00514F4B"/>
    <w:rsid w:val="00514F53"/>
    <w:rsid w:val="0051640D"/>
    <w:rsid w:val="00516594"/>
    <w:rsid w:val="00520EE9"/>
    <w:rsid w:val="00526BD0"/>
    <w:rsid w:val="00531B89"/>
    <w:rsid w:val="0053799E"/>
    <w:rsid w:val="00540794"/>
    <w:rsid w:val="0054415D"/>
    <w:rsid w:val="00550EBA"/>
    <w:rsid w:val="00556ED4"/>
    <w:rsid w:val="0056085C"/>
    <w:rsid w:val="00565846"/>
    <w:rsid w:val="005671E3"/>
    <w:rsid w:val="00570DC1"/>
    <w:rsid w:val="00572994"/>
    <w:rsid w:val="00572D9F"/>
    <w:rsid w:val="0058387E"/>
    <w:rsid w:val="005909F9"/>
    <w:rsid w:val="005A7DFF"/>
    <w:rsid w:val="005B11F4"/>
    <w:rsid w:val="005B1BCA"/>
    <w:rsid w:val="005B4042"/>
    <w:rsid w:val="005D1FFA"/>
    <w:rsid w:val="005D273A"/>
    <w:rsid w:val="005D4C18"/>
    <w:rsid w:val="005D6123"/>
    <w:rsid w:val="005E15E6"/>
    <w:rsid w:val="005E2AA0"/>
    <w:rsid w:val="005F3BFC"/>
    <w:rsid w:val="005F49A4"/>
    <w:rsid w:val="006033C0"/>
    <w:rsid w:val="00603406"/>
    <w:rsid w:val="00613327"/>
    <w:rsid w:val="00613A3B"/>
    <w:rsid w:val="0061652E"/>
    <w:rsid w:val="006169E9"/>
    <w:rsid w:val="00620FC7"/>
    <w:rsid w:val="00626138"/>
    <w:rsid w:val="00627C1B"/>
    <w:rsid w:val="00630D7E"/>
    <w:rsid w:val="00634C63"/>
    <w:rsid w:val="006369E5"/>
    <w:rsid w:val="006419C1"/>
    <w:rsid w:val="006454B8"/>
    <w:rsid w:val="00652F29"/>
    <w:rsid w:val="00656922"/>
    <w:rsid w:val="00656975"/>
    <w:rsid w:val="006676A1"/>
    <w:rsid w:val="0067041B"/>
    <w:rsid w:val="00686179"/>
    <w:rsid w:val="00687436"/>
    <w:rsid w:val="00691B7D"/>
    <w:rsid w:val="00696665"/>
    <w:rsid w:val="006A1351"/>
    <w:rsid w:val="006A3EF9"/>
    <w:rsid w:val="006A4E64"/>
    <w:rsid w:val="006A5BF3"/>
    <w:rsid w:val="006C24BE"/>
    <w:rsid w:val="006D1998"/>
    <w:rsid w:val="006D370A"/>
    <w:rsid w:val="006D471C"/>
    <w:rsid w:val="006E0AB3"/>
    <w:rsid w:val="006E5707"/>
    <w:rsid w:val="006F22F9"/>
    <w:rsid w:val="006F25ED"/>
    <w:rsid w:val="006F267B"/>
    <w:rsid w:val="006F49D9"/>
    <w:rsid w:val="006F712A"/>
    <w:rsid w:val="00701DE2"/>
    <w:rsid w:val="00711AB2"/>
    <w:rsid w:val="0071643B"/>
    <w:rsid w:val="00716901"/>
    <w:rsid w:val="0071775C"/>
    <w:rsid w:val="00720006"/>
    <w:rsid w:val="0072530D"/>
    <w:rsid w:val="007255AC"/>
    <w:rsid w:val="00733CCF"/>
    <w:rsid w:val="00743092"/>
    <w:rsid w:val="007456EE"/>
    <w:rsid w:val="00752964"/>
    <w:rsid w:val="0075549D"/>
    <w:rsid w:val="0076542B"/>
    <w:rsid w:val="0076599B"/>
    <w:rsid w:val="00766989"/>
    <w:rsid w:val="007674F4"/>
    <w:rsid w:val="00773FEA"/>
    <w:rsid w:val="00776DB8"/>
    <w:rsid w:val="00781773"/>
    <w:rsid w:val="00784463"/>
    <w:rsid w:val="007A2826"/>
    <w:rsid w:val="007A5F1E"/>
    <w:rsid w:val="007B15FF"/>
    <w:rsid w:val="007B6413"/>
    <w:rsid w:val="007D1EE4"/>
    <w:rsid w:val="007D2EA4"/>
    <w:rsid w:val="007D5A47"/>
    <w:rsid w:val="007D6720"/>
    <w:rsid w:val="007D773B"/>
    <w:rsid w:val="007E203B"/>
    <w:rsid w:val="007F58EE"/>
    <w:rsid w:val="00802D86"/>
    <w:rsid w:val="00814092"/>
    <w:rsid w:val="00817E38"/>
    <w:rsid w:val="0083640F"/>
    <w:rsid w:val="008409B3"/>
    <w:rsid w:val="00855314"/>
    <w:rsid w:val="00863CFA"/>
    <w:rsid w:val="00866D13"/>
    <w:rsid w:val="00867171"/>
    <w:rsid w:val="00877C47"/>
    <w:rsid w:val="008811B1"/>
    <w:rsid w:val="008919AA"/>
    <w:rsid w:val="008A1D66"/>
    <w:rsid w:val="008A51D0"/>
    <w:rsid w:val="008D329B"/>
    <w:rsid w:val="008E65BA"/>
    <w:rsid w:val="008E6E6A"/>
    <w:rsid w:val="008F26D8"/>
    <w:rsid w:val="00907802"/>
    <w:rsid w:val="00911F63"/>
    <w:rsid w:val="009153F8"/>
    <w:rsid w:val="00925885"/>
    <w:rsid w:val="0093361F"/>
    <w:rsid w:val="00946AAE"/>
    <w:rsid w:val="00951E35"/>
    <w:rsid w:val="009618BD"/>
    <w:rsid w:val="0096383E"/>
    <w:rsid w:val="00974849"/>
    <w:rsid w:val="00977CBA"/>
    <w:rsid w:val="0099248F"/>
    <w:rsid w:val="009955B9"/>
    <w:rsid w:val="009958E3"/>
    <w:rsid w:val="009A2AD0"/>
    <w:rsid w:val="009A57D3"/>
    <w:rsid w:val="009A6E7E"/>
    <w:rsid w:val="009B4778"/>
    <w:rsid w:val="009B56CD"/>
    <w:rsid w:val="009C3AC6"/>
    <w:rsid w:val="009E2A73"/>
    <w:rsid w:val="009F56AF"/>
    <w:rsid w:val="00A12003"/>
    <w:rsid w:val="00A24303"/>
    <w:rsid w:val="00A2798F"/>
    <w:rsid w:val="00A31A3C"/>
    <w:rsid w:val="00A335CD"/>
    <w:rsid w:val="00A34213"/>
    <w:rsid w:val="00A428F8"/>
    <w:rsid w:val="00A46546"/>
    <w:rsid w:val="00A52EB9"/>
    <w:rsid w:val="00A5400A"/>
    <w:rsid w:val="00A56B3D"/>
    <w:rsid w:val="00A60F31"/>
    <w:rsid w:val="00A72322"/>
    <w:rsid w:val="00A73960"/>
    <w:rsid w:val="00AA764E"/>
    <w:rsid w:val="00AB2554"/>
    <w:rsid w:val="00AC247C"/>
    <w:rsid w:val="00AC4A51"/>
    <w:rsid w:val="00AC5876"/>
    <w:rsid w:val="00AC5E9E"/>
    <w:rsid w:val="00AE1974"/>
    <w:rsid w:val="00AE3E96"/>
    <w:rsid w:val="00AE4963"/>
    <w:rsid w:val="00AF6867"/>
    <w:rsid w:val="00B05CC5"/>
    <w:rsid w:val="00B10218"/>
    <w:rsid w:val="00B10CA4"/>
    <w:rsid w:val="00B13733"/>
    <w:rsid w:val="00B17F78"/>
    <w:rsid w:val="00B24F5A"/>
    <w:rsid w:val="00B25CDD"/>
    <w:rsid w:val="00B30132"/>
    <w:rsid w:val="00B355A4"/>
    <w:rsid w:val="00B40D74"/>
    <w:rsid w:val="00B61617"/>
    <w:rsid w:val="00B67B49"/>
    <w:rsid w:val="00B709BF"/>
    <w:rsid w:val="00B71299"/>
    <w:rsid w:val="00B8207A"/>
    <w:rsid w:val="00B863BC"/>
    <w:rsid w:val="00B9229C"/>
    <w:rsid w:val="00BA383C"/>
    <w:rsid w:val="00BA4227"/>
    <w:rsid w:val="00BA60EB"/>
    <w:rsid w:val="00BA64D1"/>
    <w:rsid w:val="00BB00AB"/>
    <w:rsid w:val="00BB1136"/>
    <w:rsid w:val="00BC0A42"/>
    <w:rsid w:val="00BC39F8"/>
    <w:rsid w:val="00BD3B46"/>
    <w:rsid w:val="00BD50EA"/>
    <w:rsid w:val="00BE5218"/>
    <w:rsid w:val="00BE5EE3"/>
    <w:rsid w:val="00C00C1D"/>
    <w:rsid w:val="00C02003"/>
    <w:rsid w:val="00C05689"/>
    <w:rsid w:val="00C06D9A"/>
    <w:rsid w:val="00C1406B"/>
    <w:rsid w:val="00C14E3C"/>
    <w:rsid w:val="00C17F26"/>
    <w:rsid w:val="00C21ED1"/>
    <w:rsid w:val="00C252DF"/>
    <w:rsid w:val="00C32DD9"/>
    <w:rsid w:val="00C331D4"/>
    <w:rsid w:val="00C34263"/>
    <w:rsid w:val="00C5216C"/>
    <w:rsid w:val="00C526DD"/>
    <w:rsid w:val="00C55962"/>
    <w:rsid w:val="00C62779"/>
    <w:rsid w:val="00C80532"/>
    <w:rsid w:val="00C96637"/>
    <w:rsid w:val="00C977BF"/>
    <w:rsid w:val="00C978A6"/>
    <w:rsid w:val="00CB60EA"/>
    <w:rsid w:val="00CB7066"/>
    <w:rsid w:val="00CC132B"/>
    <w:rsid w:val="00CC7283"/>
    <w:rsid w:val="00CD1B8C"/>
    <w:rsid w:val="00CE03D3"/>
    <w:rsid w:val="00CE0652"/>
    <w:rsid w:val="00CE4D1D"/>
    <w:rsid w:val="00CF7AD4"/>
    <w:rsid w:val="00D06E36"/>
    <w:rsid w:val="00D174C2"/>
    <w:rsid w:val="00D20E0A"/>
    <w:rsid w:val="00D6210B"/>
    <w:rsid w:val="00D6343B"/>
    <w:rsid w:val="00D82F98"/>
    <w:rsid w:val="00D87EB7"/>
    <w:rsid w:val="00D93C1A"/>
    <w:rsid w:val="00DB31BD"/>
    <w:rsid w:val="00DB7616"/>
    <w:rsid w:val="00DC00D2"/>
    <w:rsid w:val="00DD26DD"/>
    <w:rsid w:val="00DD7DFC"/>
    <w:rsid w:val="00DE3836"/>
    <w:rsid w:val="00DE78FA"/>
    <w:rsid w:val="00E0144D"/>
    <w:rsid w:val="00E02826"/>
    <w:rsid w:val="00E03189"/>
    <w:rsid w:val="00E10993"/>
    <w:rsid w:val="00E116CB"/>
    <w:rsid w:val="00E16600"/>
    <w:rsid w:val="00E20608"/>
    <w:rsid w:val="00E3102E"/>
    <w:rsid w:val="00E31978"/>
    <w:rsid w:val="00E379C4"/>
    <w:rsid w:val="00E50CE2"/>
    <w:rsid w:val="00E512C7"/>
    <w:rsid w:val="00E547ED"/>
    <w:rsid w:val="00E57D27"/>
    <w:rsid w:val="00E65161"/>
    <w:rsid w:val="00E71523"/>
    <w:rsid w:val="00EA0453"/>
    <w:rsid w:val="00EB032F"/>
    <w:rsid w:val="00EB3210"/>
    <w:rsid w:val="00EB5E17"/>
    <w:rsid w:val="00EC4F6F"/>
    <w:rsid w:val="00EE65DF"/>
    <w:rsid w:val="00EE6BE5"/>
    <w:rsid w:val="00EE7765"/>
    <w:rsid w:val="00EF0F64"/>
    <w:rsid w:val="00EF6C2B"/>
    <w:rsid w:val="00F01145"/>
    <w:rsid w:val="00F014C5"/>
    <w:rsid w:val="00F018B6"/>
    <w:rsid w:val="00F0536A"/>
    <w:rsid w:val="00F1299E"/>
    <w:rsid w:val="00F14960"/>
    <w:rsid w:val="00F26A06"/>
    <w:rsid w:val="00F358F3"/>
    <w:rsid w:val="00F37507"/>
    <w:rsid w:val="00F42D0E"/>
    <w:rsid w:val="00F47AB7"/>
    <w:rsid w:val="00F544F1"/>
    <w:rsid w:val="00F55A5F"/>
    <w:rsid w:val="00F64516"/>
    <w:rsid w:val="00F64C64"/>
    <w:rsid w:val="00F66EBF"/>
    <w:rsid w:val="00F71748"/>
    <w:rsid w:val="00F76088"/>
    <w:rsid w:val="00F77213"/>
    <w:rsid w:val="00F8235C"/>
    <w:rsid w:val="00F833D9"/>
    <w:rsid w:val="00F9106B"/>
    <w:rsid w:val="00F955CD"/>
    <w:rsid w:val="00F955E7"/>
    <w:rsid w:val="00FA7153"/>
    <w:rsid w:val="00FB0355"/>
    <w:rsid w:val="00FC160E"/>
    <w:rsid w:val="00FC3BF5"/>
    <w:rsid w:val="00FC5CD1"/>
    <w:rsid w:val="00FC6378"/>
    <w:rsid w:val="00FD0B22"/>
    <w:rsid w:val="00FD131E"/>
    <w:rsid w:val="00FD2992"/>
    <w:rsid w:val="00FE0C37"/>
    <w:rsid w:val="00FE6809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9DDF-A7F7-4CF8-B041-555499C2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дати та порядку денного чергових річних Загальних зборів ПАТ „МЛФ” у 2012 році</vt:lpstr>
      <vt:lpstr>Про затвердження дати та порядку денного чергових річних Загальних зборів ПАТ „МЛФ” у 2012 році</vt:lpstr>
    </vt:vector>
  </TitlesOfParts>
  <Company>fm</Company>
  <LinksUpToDate>false</LinksUpToDate>
  <CharactersWithSpaces>14207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http://zaktara2001.pat.ua/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дати та порядку денного чергових річних Загальних зборів ПАТ „МЛФ” у 2012 році</dc:title>
  <dc:creator>user</dc:creator>
  <cp:lastModifiedBy>hp</cp:lastModifiedBy>
  <cp:revision>4</cp:revision>
  <cp:lastPrinted>2023-08-21T09:23:00Z</cp:lastPrinted>
  <dcterms:created xsi:type="dcterms:W3CDTF">2023-08-21T09:42:00Z</dcterms:created>
  <dcterms:modified xsi:type="dcterms:W3CDTF">2023-08-25T08:13:00Z</dcterms:modified>
</cp:coreProperties>
</file>